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52599" w14:textId="563D3F7C" w:rsidR="00B46BE3" w:rsidRPr="00B46BE3" w:rsidRDefault="00B46BE3" w:rsidP="00B46BE3">
      <w:pPr>
        <w:ind w:left="4963" w:firstLine="709"/>
        <w:rPr>
          <w:rFonts w:ascii="Times New Roman" w:hAnsi="Times New Roman" w:cs="Times New Roman"/>
          <w:sz w:val="19"/>
          <w:szCs w:val="19"/>
        </w:rPr>
      </w:pPr>
      <w:r w:rsidRPr="008A729A">
        <w:rPr>
          <w:rFonts w:ascii="Times New Roman" w:hAnsi="Times New Roman"/>
          <w:bCs/>
          <w:i/>
          <w:iCs/>
        </w:rPr>
        <w:t xml:space="preserve">Załącznik do Uchwały Nr </w:t>
      </w:r>
      <w:r w:rsidR="0004012A">
        <w:rPr>
          <w:rFonts w:ascii="Times New Roman" w:hAnsi="Times New Roman"/>
          <w:bCs/>
          <w:i/>
          <w:iCs/>
        </w:rPr>
        <w:t>7</w:t>
      </w:r>
      <w:r w:rsidR="003A4B03">
        <w:rPr>
          <w:rFonts w:ascii="Times New Roman" w:hAnsi="Times New Roman"/>
          <w:bCs/>
          <w:i/>
          <w:iCs/>
        </w:rPr>
        <w:t>2</w:t>
      </w:r>
      <w:r w:rsidRPr="008A729A">
        <w:rPr>
          <w:rFonts w:ascii="Times New Roman" w:hAnsi="Times New Roman"/>
          <w:bCs/>
          <w:i/>
          <w:iCs/>
        </w:rPr>
        <w:t>/ZB/202</w:t>
      </w:r>
      <w:r>
        <w:rPr>
          <w:rFonts w:ascii="Times New Roman" w:hAnsi="Times New Roman"/>
          <w:bCs/>
          <w:i/>
          <w:iCs/>
        </w:rPr>
        <w:t>6</w:t>
      </w:r>
    </w:p>
    <w:p w14:paraId="34E01AC0" w14:textId="77777777" w:rsidR="00B46BE3" w:rsidRPr="008A729A" w:rsidRDefault="00B46BE3" w:rsidP="003466CE">
      <w:pPr>
        <w:suppressAutoHyphens/>
        <w:ind w:left="5234" w:firstLine="438"/>
        <w:jc w:val="both"/>
        <w:rPr>
          <w:rFonts w:ascii="Times New Roman" w:hAnsi="Times New Roman"/>
          <w:bCs/>
          <w:i/>
          <w:iCs/>
        </w:rPr>
      </w:pPr>
      <w:r w:rsidRPr="008A729A">
        <w:rPr>
          <w:rFonts w:ascii="Times New Roman" w:hAnsi="Times New Roman"/>
          <w:bCs/>
          <w:i/>
          <w:iCs/>
        </w:rPr>
        <w:t>Zarządu Banku Spółdzielczego w Hajnówce</w:t>
      </w:r>
    </w:p>
    <w:p w14:paraId="146F0C1F" w14:textId="1F1C7869" w:rsidR="00B46BE3" w:rsidRPr="008A729A" w:rsidRDefault="00B46BE3" w:rsidP="003466CE">
      <w:pPr>
        <w:suppressAutoHyphens/>
        <w:ind w:left="4963" w:firstLine="709"/>
        <w:jc w:val="both"/>
        <w:rPr>
          <w:rFonts w:ascii="Times New Roman" w:hAnsi="Times New Roman"/>
          <w:bCs/>
          <w:i/>
          <w:iCs/>
        </w:rPr>
      </w:pPr>
      <w:r w:rsidRPr="008A729A">
        <w:rPr>
          <w:rFonts w:ascii="Times New Roman" w:hAnsi="Times New Roman"/>
          <w:bCs/>
          <w:i/>
          <w:iCs/>
        </w:rPr>
        <w:t>z dnia 2</w:t>
      </w:r>
      <w:r w:rsidR="003A4B03">
        <w:rPr>
          <w:rFonts w:ascii="Times New Roman" w:hAnsi="Times New Roman"/>
          <w:bCs/>
          <w:i/>
          <w:iCs/>
        </w:rPr>
        <w:t>1</w:t>
      </w:r>
      <w:r w:rsidRPr="008A729A">
        <w:rPr>
          <w:rFonts w:ascii="Times New Roman" w:hAnsi="Times New Roman"/>
          <w:bCs/>
          <w:i/>
          <w:iCs/>
        </w:rPr>
        <w:t>.0</w:t>
      </w:r>
      <w:r w:rsidR="003A4B03">
        <w:rPr>
          <w:rFonts w:ascii="Times New Roman" w:hAnsi="Times New Roman"/>
          <w:bCs/>
          <w:i/>
          <w:iCs/>
        </w:rPr>
        <w:t>8</w:t>
      </w:r>
      <w:r w:rsidRPr="008A729A">
        <w:rPr>
          <w:rFonts w:ascii="Times New Roman" w:hAnsi="Times New Roman"/>
          <w:bCs/>
          <w:i/>
          <w:iCs/>
        </w:rPr>
        <w:t>.202</w:t>
      </w:r>
      <w:r>
        <w:rPr>
          <w:rFonts w:ascii="Times New Roman" w:hAnsi="Times New Roman"/>
          <w:bCs/>
          <w:i/>
          <w:iCs/>
        </w:rPr>
        <w:t>6</w:t>
      </w:r>
      <w:r w:rsidRPr="008A729A">
        <w:rPr>
          <w:rFonts w:ascii="Times New Roman" w:hAnsi="Times New Roman"/>
          <w:bCs/>
          <w:i/>
          <w:iCs/>
        </w:rPr>
        <w:t xml:space="preserve"> r.</w:t>
      </w:r>
    </w:p>
    <w:p w14:paraId="0330C8F9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019AA56B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24C8ACC0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41981909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03054C6C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7D517471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38ED0F83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7978D3C0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2B6071AD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2DF5B651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46600B4E" w14:textId="77777777" w:rsidR="00B46BE3" w:rsidRPr="008A729A" w:rsidRDefault="00B46BE3" w:rsidP="00B46BE3">
      <w:pPr>
        <w:suppressAutoHyphens/>
        <w:ind w:left="4525"/>
        <w:jc w:val="both"/>
        <w:rPr>
          <w:rFonts w:ascii="Arial Narrow" w:hAnsi="Arial Narrow"/>
          <w:bCs/>
          <w:i/>
          <w:iCs/>
          <w:sz w:val="16"/>
        </w:rPr>
      </w:pPr>
    </w:p>
    <w:p w14:paraId="6D9E8CEB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A729A">
        <w:rPr>
          <w:rFonts w:ascii="Arial Narrow" w:hAnsi="Arial Narrow"/>
          <w:noProof/>
          <w:color w:val="000000" w:themeColor="text1"/>
          <w:sz w:val="16"/>
          <w:szCs w:val="20"/>
        </w:rPr>
        <w:drawing>
          <wp:inline distT="0" distB="0" distL="0" distR="0" wp14:anchorId="7F2BE807" wp14:editId="52714899">
            <wp:extent cx="3702050" cy="444500"/>
            <wp:effectExtent l="0" t="0" r="0" b="0"/>
            <wp:docPr id="1" name="Obraz 1" descr="C:\Users\edyta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yta\AppData\Local\Microsoft\Windows\INetCache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10E8D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5E828BD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66FBBB2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78057C2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1B37AE2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D7DD590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F76EEA0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AD3D86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11E2FDF" w14:textId="77777777" w:rsidR="00B46BE3" w:rsidRPr="008A729A" w:rsidRDefault="00B46BE3" w:rsidP="00B46BE3">
      <w:pPr>
        <w:jc w:val="center"/>
        <w:rPr>
          <w:rFonts w:ascii="Arial Narrow" w:hAnsi="Arial Narrow"/>
          <w:sz w:val="1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E1F50F6" w14:textId="77777777" w:rsidR="00B46BE3" w:rsidRPr="008A729A" w:rsidRDefault="00B46BE3" w:rsidP="00B46BE3">
      <w:pPr>
        <w:spacing w:after="60" w:line="288" w:lineRule="auto"/>
        <w:jc w:val="both"/>
        <w:rPr>
          <w:rFonts w:ascii="Times New Roman" w:hAnsi="Times New Roman"/>
          <w:szCs w:val="20"/>
        </w:rPr>
      </w:pPr>
    </w:p>
    <w:p w14:paraId="04792ADB" w14:textId="5A4BF1FA" w:rsidR="00A9738F" w:rsidRPr="00A9738F" w:rsidRDefault="00A9738F" w:rsidP="00A9738F">
      <w:pPr>
        <w:spacing w:line="288" w:lineRule="auto"/>
        <w:jc w:val="center"/>
        <w:rPr>
          <w:rFonts w:asciiTheme="minorHAnsi" w:hAnsiTheme="minorHAnsi" w:cstheme="minorHAnsi"/>
          <w:b/>
          <w:color w:val="008866"/>
          <w:sz w:val="36"/>
          <w:szCs w:val="36"/>
        </w:rPr>
      </w:pPr>
      <w:r w:rsidRPr="00A9738F">
        <w:rPr>
          <w:rFonts w:asciiTheme="minorHAnsi" w:hAnsiTheme="minorHAnsi" w:cstheme="minorHAnsi"/>
          <w:b/>
          <w:color w:val="008866"/>
          <w:sz w:val="36"/>
          <w:szCs w:val="36"/>
        </w:rPr>
        <w:t xml:space="preserve">Instrukcja </w:t>
      </w:r>
      <w:r w:rsidRPr="00A9738F">
        <w:rPr>
          <w:rFonts w:asciiTheme="minorHAnsi" w:hAnsiTheme="minorHAnsi" w:cstheme="minorHAnsi"/>
          <w:b/>
          <w:color w:val="008866"/>
          <w:sz w:val="36"/>
          <w:szCs w:val="36"/>
        </w:rPr>
        <w:br/>
        <w:t xml:space="preserve">Plan postępowania w przypadku istotnych zmian </w:t>
      </w:r>
      <w:r w:rsidRPr="00A9738F">
        <w:rPr>
          <w:rFonts w:asciiTheme="minorHAnsi" w:hAnsiTheme="minorHAnsi" w:cstheme="minorHAnsi"/>
          <w:b/>
          <w:color w:val="008866"/>
          <w:sz w:val="36"/>
          <w:szCs w:val="36"/>
        </w:rPr>
        <w:br/>
        <w:t xml:space="preserve">lub zaprzestania opracowywania wskaźników referencyjnych </w:t>
      </w:r>
      <w:r w:rsidRPr="00A9738F">
        <w:rPr>
          <w:rFonts w:asciiTheme="minorHAnsi" w:hAnsiTheme="minorHAnsi" w:cstheme="minorHAnsi"/>
          <w:b/>
          <w:color w:val="008866"/>
          <w:sz w:val="36"/>
          <w:szCs w:val="36"/>
        </w:rPr>
        <w:br/>
        <w:t>stosowanych w Banku Spółdzielczym w Hajnówce</w:t>
      </w:r>
    </w:p>
    <w:p w14:paraId="545D4712" w14:textId="376DD0C7" w:rsidR="00A9738F" w:rsidRPr="00A1432D" w:rsidRDefault="00A9738F" w:rsidP="00A9738F">
      <w:pPr>
        <w:spacing w:line="288" w:lineRule="auto"/>
        <w:jc w:val="center"/>
        <w:rPr>
          <w:rFonts w:ascii="Arial Narrow" w:hAnsi="Arial Narrow"/>
          <w:sz w:val="36"/>
          <w:szCs w:val="36"/>
        </w:rPr>
      </w:pPr>
    </w:p>
    <w:p w14:paraId="4AB657BA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5050566F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3510AE53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5BFC835D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01485F21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50762E62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60DE44AF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49FDE622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2C728A28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412AF846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288363CE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5398AF86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239291C8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48EF60ED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22663193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4588A733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392A1BB9" w14:textId="77777777" w:rsidR="00B46BE3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2171A907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1F76486C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17C52443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010CEDB1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6807607C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7E0D764C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65803393" w14:textId="77777777" w:rsidR="00B46BE3" w:rsidRPr="008A729A" w:rsidRDefault="00B46BE3" w:rsidP="00B46BE3">
      <w:pPr>
        <w:spacing w:line="288" w:lineRule="auto"/>
        <w:jc w:val="center"/>
        <w:rPr>
          <w:rFonts w:ascii="Times New Roman" w:hAnsi="Times New Roman"/>
          <w:sz w:val="24"/>
        </w:rPr>
      </w:pPr>
      <w:r w:rsidRPr="008A729A">
        <w:rPr>
          <w:rFonts w:ascii="Times New Roman" w:hAnsi="Times New Roman"/>
          <w:sz w:val="24"/>
        </w:rPr>
        <w:t>_______________________________________________________________________</w:t>
      </w:r>
    </w:p>
    <w:p w14:paraId="024772E3" w14:textId="77777777" w:rsidR="00B46BE3" w:rsidRPr="008A729A" w:rsidRDefault="00B46BE3" w:rsidP="00B46BE3">
      <w:pPr>
        <w:spacing w:line="288" w:lineRule="auto"/>
        <w:jc w:val="both"/>
        <w:rPr>
          <w:rFonts w:ascii="Arial Narrow" w:hAnsi="Arial Narrow"/>
          <w:sz w:val="16"/>
          <w:szCs w:val="20"/>
        </w:rPr>
      </w:pPr>
    </w:p>
    <w:p w14:paraId="0A0F11D6" w14:textId="77777777" w:rsidR="00B46BE3" w:rsidRPr="008A729A" w:rsidRDefault="00B46BE3" w:rsidP="00B46BE3">
      <w:pPr>
        <w:spacing w:line="288" w:lineRule="auto"/>
        <w:jc w:val="center"/>
        <w:rPr>
          <w:rFonts w:ascii="Times New Roman" w:hAnsi="Times New Roman"/>
        </w:rPr>
      </w:pPr>
      <w:r w:rsidRPr="008A729A">
        <w:rPr>
          <w:rFonts w:ascii="Times New Roman" w:hAnsi="Times New Roman"/>
        </w:rPr>
        <w:t>Hajnówka, 202</w:t>
      </w:r>
      <w:r>
        <w:rPr>
          <w:rFonts w:ascii="Times New Roman" w:hAnsi="Times New Roman"/>
        </w:rPr>
        <w:t>6</w:t>
      </w:r>
      <w:r w:rsidRPr="008A729A">
        <w:rPr>
          <w:rFonts w:ascii="Times New Roman" w:hAnsi="Times New Roman"/>
        </w:rPr>
        <w:t xml:space="preserve"> r.</w:t>
      </w:r>
    </w:p>
    <w:p w14:paraId="6E246EB8" w14:textId="06B88B4C" w:rsidR="00715FB7" w:rsidRPr="00546D82" w:rsidRDefault="00715FB7" w:rsidP="00EE57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C49F39" w14:textId="421D4BE3" w:rsidR="00715FB7" w:rsidRPr="00546D82" w:rsidRDefault="00715FB7" w:rsidP="00EE57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F518CE" w14:textId="6DC592C4" w:rsidR="00715FB7" w:rsidRPr="00546D82" w:rsidRDefault="00715FB7" w:rsidP="00EE57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2BFD63" w14:textId="1779DBE4" w:rsidR="00A110D1" w:rsidRPr="00546D82" w:rsidRDefault="00A110D1" w:rsidP="00A110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Spis treści</w:t>
      </w:r>
    </w:p>
    <w:p w14:paraId="52FF4C0E" w14:textId="77777777" w:rsidR="001654B7" w:rsidRPr="00546D82" w:rsidRDefault="001654B7" w:rsidP="00A110D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385BE4" w14:textId="52668CCD" w:rsidR="00396C88" w:rsidRPr="00546D82" w:rsidRDefault="001654B7" w:rsidP="00DF5E17">
      <w:pPr>
        <w:pStyle w:val="Spistreci1"/>
        <w:jc w:val="left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546D82">
        <w:rPr>
          <w:rFonts w:ascii="Times New Roman" w:hAnsi="Times New Roman" w:cs="Times New Roman"/>
          <w:b/>
          <w:sz w:val="24"/>
          <w:szCs w:val="24"/>
        </w:rPr>
        <w:instrText xml:space="preserve"> TOC \o "1-3" \h \z \u </w:instrText>
      </w:r>
      <w:r w:rsidRPr="00546D82">
        <w:rPr>
          <w:rFonts w:ascii="Times New Roman" w:hAnsi="Times New Roman" w:cs="Times New Roman"/>
          <w:b/>
          <w:sz w:val="24"/>
          <w:szCs w:val="24"/>
        </w:rPr>
        <w:fldChar w:fldCharType="separate"/>
      </w:r>
      <w:hyperlink w:anchor="_Toc94023536" w:history="1">
        <w:r w:rsidR="00396C88"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Rozdział 1.</w:t>
        </w:r>
        <w:r w:rsidR="00396C88" w:rsidRPr="00546D82">
          <w:rPr>
            <w:rFonts w:ascii="Times New Roman" w:eastAsiaTheme="minorEastAsia" w:hAnsi="Times New Roman" w:cs="Times New Roman"/>
            <w:noProof/>
            <w:sz w:val="24"/>
            <w:szCs w:val="24"/>
          </w:rPr>
          <w:tab/>
        </w:r>
        <w:r w:rsidR="00396C88"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Postanowienia ogólne</w:t>
        </w:r>
        <w:r w:rsidR="00396C88"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396C88"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396C88"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_Toc94023536 \h </w:instrText>
        </w:r>
        <w:r w:rsidR="00396C88"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396C88"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5C58">
          <w:rPr>
            <w:rFonts w:ascii="Times New Roman" w:hAnsi="Times New Roman" w:cs="Times New Roman"/>
            <w:noProof/>
            <w:webHidden/>
            <w:sz w:val="24"/>
            <w:szCs w:val="24"/>
          </w:rPr>
          <w:t>3</w:t>
        </w:r>
        <w:r w:rsidR="00396C88"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62A3CE1" w14:textId="476BDDE8" w:rsidR="00396C88" w:rsidRPr="00546D82" w:rsidRDefault="00396C88" w:rsidP="00DF5E17">
      <w:pPr>
        <w:pStyle w:val="Spistreci1"/>
        <w:jc w:val="left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94023537" w:history="1"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Rozdział 2.</w:t>
        </w:r>
        <w:r w:rsidRPr="00546D82">
          <w:rPr>
            <w:rFonts w:ascii="Times New Roman" w:eastAsiaTheme="minorEastAsia" w:hAnsi="Times New Roman" w:cs="Times New Roman"/>
            <w:noProof/>
            <w:sz w:val="24"/>
            <w:szCs w:val="24"/>
          </w:rPr>
          <w:tab/>
        </w:r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Zasady wyznaczania Wskaźnika referencyjnego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_Toc94023537 \h </w:instrTex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5C58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D6E51BD" w14:textId="288860F5" w:rsidR="00396C88" w:rsidRPr="00546D82" w:rsidRDefault="00396C88" w:rsidP="00DF5E17">
      <w:pPr>
        <w:pStyle w:val="Spistreci1"/>
        <w:jc w:val="left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94023538" w:history="1"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Rozdział 3.</w:t>
        </w:r>
        <w:r w:rsidRPr="00546D82">
          <w:rPr>
            <w:rFonts w:ascii="Times New Roman" w:eastAsiaTheme="minorEastAsia" w:hAnsi="Times New Roman" w:cs="Times New Roman"/>
            <w:noProof/>
            <w:sz w:val="24"/>
            <w:szCs w:val="24"/>
          </w:rPr>
          <w:tab/>
        </w:r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Zasady postępowania Banku w przypadku zaprzestania opracowywania stosowanego przez Bank Wskaźnika referencyjnego na skutek wystąpienia Zdarzenia regulacyjnego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_Toc94023538 \h </w:instrTex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5C58">
          <w:rPr>
            <w:rFonts w:ascii="Times New Roman" w:hAnsi="Times New Roman" w:cs="Times New Roman"/>
            <w:noProof/>
            <w:webHidden/>
            <w:sz w:val="24"/>
            <w:szCs w:val="24"/>
          </w:rPr>
          <w:t>5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C429CDF" w14:textId="772EDAE8" w:rsidR="00396C88" w:rsidRPr="00546D82" w:rsidRDefault="00396C88" w:rsidP="00DF5E17">
      <w:pPr>
        <w:pStyle w:val="Spistreci1"/>
        <w:jc w:val="left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94023539" w:history="1"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Rozdział 4.</w:t>
        </w:r>
        <w:r w:rsidRPr="00546D82">
          <w:rPr>
            <w:rFonts w:ascii="Times New Roman" w:eastAsiaTheme="minorEastAsia" w:hAnsi="Times New Roman" w:cs="Times New Roman"/>
            <w:noProof/>
            <w:sz w:val="24"/>
            <w:szCs w:val="24"/>
          </w:rPr>
          <w:tab/>
        </w:r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Zasady postępowania Banku w przypadku wystąpienia Istotnej zmiany Wskaźnika referencyjnego stosowanego przez Bank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_Toc94023539 \h </w:instrTex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5C58">
          <w:rPr>
            <w:rFonts w:ascii="Times New Roman" w:hAnsi="Times New Roman" w:cs="Times New Roman"/>
            <w:noProof/>
            <w:webHidden/>
            <w:sz w:val="24"/>
            <w:szCs w:val="24"/>
          </w:rPr>
          <w:t>6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288EF5A" w14:textId="649755FF" w:rsidR="00396C88" w:rsidRPr="00546D82" w:rsidRDefault="00396C88" w:rsidP="00DF5E17">
      <w:pPr>
        <w:pStyle w:val="Spistreci1"/>
        <w:jc w:val="left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94023540" w:history="1"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Rozdział 5.</w:t>
        </w:r>
        <w:r w:rsidRPr="00546D82">
          <w:rPr>
            <w:rFonts w:ascii="Times New Roman" w:eastAsiaTheme="minorEastAsia" w:hAnsi="Times New Roman" w:cs="Times New Roman"/>
            <w:noProof/>
            <w:sz w:val="24"/>
            <w:szCs w:val="24"/>
          </w:rPr>
          <w:tab/>
        </w:r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Klauzule umowne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_Toc94023540 \h </w:instrTex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5C58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A532F74" w14:textId="309BC71F" w:rsidR="00396C88" w:rsidRPr="00546D82" w:rsidRDefault="00396C88" w:rsidP="00DF5E17">
      <w:pPr>
        <w:pStyle w:val="Spistreci1"/>
        <w:jc w:val="left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94023541" w:history="1"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Rozdział 6.</w:t>
        </w:r>
        <w:r w:rsidRPr="00546D82">
          <w:rPr>
            <w:rFonts w:ascii="Times New Roman" w:eastAsiaTheme="minorEastAsia" w:hAnsi="Times New Roman" w:cs="Times New Roman"/>
            <w:noProof/>
            <w:sz w:val="24"/>
            <w:szCs w:val="24"/>
          </w:rPr>
          <w:tab/>
        </w:r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Obowiązki informacyjne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_Toc94023541 \h </w:instrTex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5C58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4505439" w14:textId="2F0CF2C8" w:rsidR="00396C88" w:rsidRPr="00546D82" w:rsidRDefault="00396C88" w:rsidP="00DF5E17">
      <w:pPr>
        <w:pStyle w:val="Spistreci1"/>
        <w:jc w:val="left"/>
        <w:rPr>
          <w:rFonts w:ascii="Times New Roman" w:eastAsiaTheme="minorEastAsia" w:hAnsi="Times New Roman" w:cs="Times New Roman"/>
          <w:noProof/>
          <w:sz w:val="24"/>
          <w:szCs w:val="24"/>
        </w:rPr>
      </w:pPr>
      <w:hyperlink w:anchor="_Toc94023542" w:history="1"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Rozdział 7.</w:t>
        </w:r>
        <w:r w:rsidRPr="00546D82">
          <w:rPr>
            <w:rFonts w:ascii="Times New Roman" w:eastAsiaTheme="minorEastAsia" w:hAnsi="Times New Roman" w:cs="Times New Roman"/>
            <w:noProof/>
            <w:sz w:val="24"/>
            <w:szCs w:val="24"/>
          </w:rPr>
          <w:tab/>
        </w:r>
        <w:r w:rsidRPr="00546D82">
          <w:rPr>
            <w:rStyle w:val="Hipercze"/>
            <w:rFonts w:ascii="Times New Roman" w:hAnsi="Times New Roman" w:cs="Times New Roman"/>
            <w:noProof/>
            <w:color w:val="auto"/>
            <w:sz w:val="24"/>
            <w:szCs w:val="24"/>
          </w:rPr>
          <w:t>Aktualizacja Planu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_Toc94023542 \h </w:instrTex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785C58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Pr="00546D82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A729EBC" w14:textId="3C4CE6A0" w:rsidR="00992D3B" w:rsidRPr="00546D82" w:rsidRDefault="001654B7" w:rsidP="00DF5E17">
      <w:pPr>
        <w:tabs>
          <w:tab w:val="left" w:pos="1418"/>
        </w:tabs>
        <w:spacing w:before="240" w:after="120"/>
        <w:ind w:left="1418" w:hanging="1418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13B58C6B" w14:textId="77777777" w:rsidR="00BD2577" w:rsidRPr="00546D82" w:rsidRDefault="00BD2577" w:rsidP="005B4AF5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14:paraId="56BBD231" w14:textId="2A406E16" w:rsidR="00992D3B" w:rsidRPr="00546D82" w:rsidRDefault="00992D3B" w:rsidP="00DF5E17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  <w:u w:val="single"/>
        </w:rPr>
        <w:t>Wykaz załączników:</w:t>
      </w:r>
    </w:p>
    <w:p w14:paraId="7E7B9616" w14:textId="41D0EB7C" w:rsidR="00992D3B" w:rsidRPr="00546D82" w:rsidRDefault="00992D3B" w:rsidP="00863CD2">
      <w:pPr>
        <w:pStyle w:val="Akapitzlist"/>
        <w:numPr>
          <w:ilvl w:val="0"/>
          <w:numId w:val="22"/>
        </w:numPr>
        <w:spacing w:before="120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BD2577" w:rsidRPr="00546D82">
        <w:rPr>
          <w:rFonts w:ascii="Times New Roman" w:hAnsi="Times New Roman" w:cs="Times New Roman"/>
          <w:sz w:val="24"/>
          <w:szCs w:val="24"/>
        </w:rPr>
        <w:t xml:space="preserve">nr </w:t>
      </w:r>
      <w:r w:rsidRPr="00546D82">
        <w:rPr>
          <w:rFonts w:ascii="Times New Roman" w:hAnsi="Times New Roman" w:cs="Times New Roman"/>
          <w:sz w:val="24"/>
          <w:szCs w:val="24"/>
        </w:rPr>
        <w:t>1 – Lista wskaźników referencyjnych stosowanych w Banku</w:t>
      </w:r>
    </w:p>
    <w:p w14:paraId="6639C699" w14:textId="4299D478" w:rsidR="00992D3B" w:rsidRPr="00546D82" w:rsidRDefault="00992D3B" w:rsidP="00863CD2">
      <w:pPr>
        <w:pStyle w:val="Akapitzlist"/>
        <w:numPr>
          <w:ilvl w:val="0"/>
          <w:numId w:val="22"/>
        </w:numPr>
        <w:spacing w:before="120"/>
        <w:ind w:left="425" w:hanging="425"/>
        <w:contextualSpacing w:val="0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BD2577" w:rsidRPr="00546D82">
        <w:rPr>
          <w:rFonts w:ascii="Times New Roman" w:hAnsi="Times New Roman" w:cs="Times New Roman"/>
          <w:sz w:val="24"/>
          <w:szCs w:val="24"/>
        </w:rPr>
        <w:t xml:space="preserve">nr </w:t>
      </w:r>
      <w:r w:rsidRPr="00546D82">
        <w:rPr>
          <w:rFonts w:ascii="Times New Roman" w:hAnsi="Times New Roman" w:cs="Times New Roman"/>
          <w:sz w:val="24"/>
          <w:szCs w:val="24"/>
        </w:rPr>
        <w:t>2 – Wzory klauzul awaryjnych</w:t>
      </w:r>
    </w:p>
    <w:p w14:paraId="49CAAEDA" w14:textId="78DF7B8A" w:rsidR="001654B7" w:rsidRPr="00546D82" w:rsidRDefault="001654B7" w:rsidP="00D16336">
      <w:pPr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2C179" w14:textId="2568C301" w:rsidR="00706993" w:rsidRPr="00546D82" w:rsidRDefault="00A110D1" w:rsidP="00551129">
      <w:pPr>
        <w:pStyle w:val="Nagwek1"/>
        <w:spacing w:before="480" w:after="120"/>
        <w:jc w:val="center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br w:type="page"/>
      </w:r>
      <w:bookmarkStart w:id="0" w:name="_Toc94023536"/>
      <w:r w:rsidR="00706993" w:rsidRPr="00546D82">
        <w:rPr>
          <w:rFonts w:ascii="Times New Roman" w:hAnsi="Times New Roman" w:cs="Times New Roman"/>
          <w:sz w:val="24"/>
          <w:szCs w:val="24"/>
        </w:rPr>
        <w:lastRenderedPageBreak/>
        <w:t>Rozdział 1.</w:t>
      </w:r>
      <w:r w:rsidR="00706993" w:rsidRPr="00546D82">
        <w:rPr>
          <w:rFonts w:ascii="Times New Roman" w:hAnsi="Times New Roman" w:cs="Times New Roman"/>
          <w:sz w:val="24"/>
          <w:szCs w:val="24"/>
        </w:rPr>
        <w:tab/>
        <w:t xml:space="preserve">Postanowienia </w:t>
      </w:r>
      <w:r w:rsidR="00642002" w:rsidRPr="00546D82">
        <w:rPr>
          <w:rFonts w:ascii="Times New Roman" w:hAnsi="Times New Roman" w:cs="Times New Roman"/>
          <w:sz w:val="24"/>
          <w:szCs w:val="24"/>
        </w:rPr>
        <w:t>ogólne</w:t>
      </w:r>
      <w:bookmarkEnd w:id="0"/>
    </w:p>
    <w:p w14:paraId="0123E08A" w14:textId="01243770" w:rsidR="003D1F4E" w:rsidRPr="00546D82" w:rsidRDefault="00992D3B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§</w:t>
      </w:r>
      <w:r w:rsidR="00546E39" w:rsidRPr="00546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b/>
          <w:sz w:val="24"/>
          <w:szCs w:val="24"/>
        </w:rPr>
        <w:t>1.</w:t>
      </w:r>
    </w:p>
    <w:p w14:paraId="5869B1CC" w14:textId="2E5A5769" w:rsidR="003D1F4E" w:rsidRPr="00546D82" w:rsidRDefault="003D1F4E" w:rsidP="00863CD2">
      <w:pPr>
        <w:pStyle w:val="Akapitzlist"/>
        <w:numPr>
          <w:ilvl w:val="0"/>
          <w:numId w:val="8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Instrukcja Plan postępowania w przypadku istotnych zmian lub zaprzestania opracowywania Wskaźników referencyjny</w:t>
      </w:r>
      <w:r w:rsidR="00992D3B" w:rsidRPr="00546D82">
        <w:rPr>
          <w:rFonts w:ascii="Times New Roman" w:hAnsi="Times New Roman" w:cs="Times New Roman"/>
          <w:sz w:val="24"/>
          <w:szCs w:val="24"/>
        </w:rPr>
        <w:t xml:space="preserve">ch stosowanych w Banku </w:t>
      </w:r>
      <w:r w:rsidR="00EE573F" w:rsidRPr="00546D82">
        <w:rPr>
          <w:rFonts w:ascii="Times New Roman" w:hAnsi="Times New Roman" w:cs="Times New Roman"/>
          <w:sz w:val="24"/>
          <w:szCs w:val="24"/>
        </w:rPr>
        <w:t xml:space="preserve">Spółdzielczym w </w:t>
      </w:r>
      <w:r w:rsidR="001A37A7">
        <w:rPr>
          <w:rFonts w:ascii="Times New Roman" w:hAnsi="Times New Roman" w:cs="Times New Roman"/>
          <w:sz w:val="24"/>
          <w:szCs w:val="24"/>
        </w:rPr>
        <w:t>Hajnówce</w:t>
      </w:r>
      <w:r w:rsidRPr="00546D82">
        <w:rPr>
          <w:rFonts w:ascii="Times New Roman" w:hAnsi="Times New Roman" w:cs="Times New Roman"/>
          <w:sz w:val="24"/>
          <w:szCs w:val="24"/>
        </w:rPr>
        <w:t>, zwana dalej „Planem”, określa:</w:t>
      </w:r>
    </w:p>
    <w:p w14:paraId="69D6CAA1" w14:textId="0FB4D2F2" w:rsidR="003D1F4E" w:rsidRPr="00546D82" w:rsidRDefault="003D1F4E" w:rsidP="00863CD2">
      <w:pPr>
        <w:pStyle w:val="Akapitzlist"/>
        <w:numPr>
          <w:ilvl w:val="0"/>
          <w:numId w:val="14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zasady </w:t>
      </w:r>
      <w:r w:rsidR="00B65249" w:rsidRPr="00546D82">
        <w:rPr>
          <w:rFonts w:ascii="Times New Roman" w:hAnsi="Times New Roman" w:cs="Times New Roman"/>
          <w:sz w:val="24"/>
          <w:szCs w:val="24"/>
        </w:rPr>
        <w:t xml:space="preserve">wyznaczania </w:t>
      </w:r>
      <w:r w:rsidRPr="00546D82">
        <w:rPr>
          <w:rFonts w:ascii="Times New Roman" w:hAnsi="Times New Roman" w:cs="Times New Roman"/>
          <w:sz w:val="24"/>
          <w:szCs w:val="24"/>
        </w:rPr>
        <w:t xml:space="preserve">w Banku </w:t>
      </w:r>
      <w:r w:rsidR="00992D3B" w:rsidRPr="00546D82">
        <w:rPr>
          <w:rFonts w:ascii="Times New Roman" w:hAnsi="Times New Roman" w:cs="Times New Roman"/>
          <w:sz w:val="24"/>
          <w:szCs w:val="24"/>
        </w:rPr>
        <w:t>nowego Wskaźnika referencyjnego;</w:t>
      </w:r>
    </w:p>
    <w:p w14:paraId="702880E4" w14:textId="23379C14" w:rsidR="003D1F4E" w:rsidRPr="00546D82" w:rsidRDefault="003D1F4E" w:rsidP="00863CD2">
      <w:pPr>
        <w:pStyle w:val="Akapitzlist"/>
        <w:numPr>
          <w:ilvl w:val="0"/>
          <w:numId w:val="14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szczególne zasady </w:t>
      </w:r>
      <w:r w:rsidR="00B65249" w:rsidRPr="00546D82">
        <w:rPr>
          <w:rFonts w:ascii="Times New Roman" w:hAnsi="Times New Roman" w:cs="Times New Roman"/>
          <w:sz w:val="24"/>
          <w:szCs w:val="24"/>
        </w:rPr>
        <w:t xml:space="preserve">wyznaczania </w:t>
      </w:r>
      <w:r w:rsidRPr="00546D82">
        <w:rPr>
          <w:rFonts w:ascii="Times New Roman" w:hAnsi="Times New Roman" w:cs="Times New Roman"/>
          <w:sz w:val="24"/>
          <w:szCs w:val="24"/>
        </w:rPr>
        <w:t>w Banku Wskaźnika referencyjnego w</w:t>
      </w:r>
      <w:r w:rsidR="00992D3B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przypadku zaprzestania opracowywania stosowanego przez Bank Wskaźnika referencyjnego na skutek wystąpienia Zdarzenia regulacyjnego</w:t>
      </w:r>
      <w:r w:rsidR="00992D3B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5CE59513" w14:textId="3D6F76A8" w:rsidR="003D1F4E" w:rsidRPr="00546D82" w:rsidRDefault="003D1F4E" w:rsidP="00863CD2">
      <w:pPr>
        <w:pStyle w:val="Akapitzlist"/>
        <w:numPr>
          <w:ilvl w:val="0"/>
          <w:numId w:val="14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sposób postępowania Banku w przypadku wystąpienia Istotnych zmian stosowanego przez Bank Wskaźnika referencyjnego</w:t>
      </w:r>
      <w:r w:rsidR="00B65249" w:rsidRPr="00546D82">
        <w:rPr>
          <w:rFonts w:ascii="Times New Roman" w:hAnsi="Times New Roman" w:cs="Times New Roman"/>
          <w:sz w:val="24"/>
          <w:szCs w:val="24"/>
        </w:rPr>
        <w:t>.</w:t>
      </w:r>
    </w:p>
    <w:p w14:paraId="6E94E99E" w14:textId="77777777" w:rsidR="003D1F4E" w:rsidRPr="00546D82" w:rsidRDefault="003D1F4E" w:rsidP="00863CD2">
      <w:pPr>
        <w:pStyle w:val="Akapitzlist"/>
        <w:numPr>
          <w:ilvl w:val="0"/>
          <w:numId w:val="8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Plan stanowi realizację wymogu wskazanego w art. 28 ust. 2 Rozporządzenia BMR.</w:t>
      </w:r>
    </w:p>
    <w:p w14:paraId="0214DB48" w14:textId="656F6CF9" w:rsidR="003D1F4E" w:rsidRPr="00546D82" w:rsidRDefault="003D1F4E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§</w:t>
      </w:r>
      <w:r w:rsidR="00546E39" w:rsidRPr="00546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b/>
          <w:sz w:val="24"/>
          <w:szCs w:val="24"/>
        </w:rPr>
        <w:t>2</w:t>
      </w:r>
      <w:r w:rsidR="00992D3B" w:rsidRPr="00546D82">
        <w:rPr>
          <w:rFonts w:ascii="Times New Roman" w:hAnsi="Times New Roman" w:cs="Times New Roman"/>
          <w:b/>
          <w:sz w:val="24"/>
          <w:szCs w:val="24"/>
        </w:rPr>
        <w:t>.</w:t>
      </w:r>
    </w:p>
    <w:p w14:paraId="5BC91A58" w14:textId="40FF6A5A" w:rsidR="003D1F4E" w:rsidRPr="00546D82" w:rsidRDefault="003D1F4E" w:rsidP="00B15F60">
      <w:pPr>
        <w:spacing w:before="6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Pojęcia użyte w </w:t>
      </w:r>
      <w:r w:rsidR="00992D3B" w:rsidRPr="00546D82">
        <w:rPr>
          <w:rFonts w:ascii="Times New Roman" w:hAnsi="Times New Roman" w:cs="Times New Roman"/>
          <w:sz w:val="24"/>
          <w:szCs w:val="24"/>
        </w:rPr>
        <w:t>P</w:t>
      </w:r>
      <w:r w:rsidRPr="00546D82">
        <w:rPr>
          <w:rFonts w:ascii="Times New Roman" w:hAnsi="Times New Roman" w:cs="Times New Roman"/>
          <w:sz w:val="24"/>
          <w:szCs w:val="24"/>
        </w:rPr>
        <w:t>lanie oznaczają:</w:t>
      </w:r>
    </w:p>
    <w:p w14:paraId="4D048BFE" w14:textId="321B05B6" w:rsidR="003D1F4E" w:rsidRPr="00546D82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bCs/>
          <w:sz w:val="24"/>
          <w:szCs w:val="24"/>
        </w:rPr>
        <w:t xml:space="preserve">Administrator </w:t>
      </w:r>
      <w:r w:rsidR="00992D3B" w:rsidRPr="00546D82">
        <w:rPr>
          <w:rFonts w:ascii="Times New Roman" w:hAnsi="Times New Roman" w:cs="Times New Roman"/>
          <w:sz w:val="24"/>
          <w:szCs w:val="24"/>
        </w:rPr>
        <w:t>–</w:t>
      </w:r>
      <w:r w:rsidRPr="00546D82">
        <w:rPr>
          <w:rFonts w:ascii="Times New Roman" w:hAnsi="Times New Roman" w:cs="Times New Roman"/>
          <w:sz w:val="24"/>
          <w:szCs w:val="24"/>
        </w:rPr>
        <w:t xml:space="preserve"> osoba fizyczna lub prawna, niezależna od Banku, sprawująca kontrolę </w:t>
      </w:r>
      <w:r w:rsidR="00C261B8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nad opracowywaniem Wskaźnika referencyjnego oraz, w</w:t>
      </w:r>
      <w:r w:rsidR="00992D3B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szczególności, zarządzająca mechanizmami dotyczącymi wyznaczania Wskaźnika referencyjnego, gromadząca i analizująca dane wejściowe, wyznaczająca wskaźnik referencyjny i publikująca go;</w:t>
      </w:r>
    </w:p>
    <w:p w14:paraId="427B69F0" w14:textId="55888B7C" w:rsidR="003D1F4E" w:rsidRPr="00546D82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Bank</w:t>
      </w:r>
      <w:r w:rsidRPr="00546D82">
        <w:rPr>
          <w:rFonts w:ascii="Times New Roman" w:hAnsi="Times New Roman" w:cs="Times New Roman"/>
          <w:sz w:val="24"/>
          <w:szCs w:val="24"/>
        </w:rPr>
        <w:t xml:space="preserve"> – Bank </w:t>
      </w:r>
      <w:r w:rsidR="00EE573F" w:rsidRPr="00546D82">
        <w:rPr>
          <w:rFonts w:ascii="Times New Roman" w:hAnsi="Times New Roman" w:cs="Times New Roman"/>
          <w:sz w:val="24"/>
          <w:szCs w:val="24"/>
        </w:rPr>
        <w:t xml:space="preserve">Spółdzielczy w </w:t>
      </w:r>
      <w:r w:rsidR="001A37A7">
        <w:rPr>
          <w:rFonts w:ascii="Times New Roman" w:hAnsi="Times New Roman" w:cs="Times New Roman"/>
          <w:sz w:val="24"/>
          <w:szCs w:val="24"/>
        </w:rPr>
        <w:t>Hajnówce</w:t>
      </w:r>
      <w:r w:rsidRPr="00546D82">
        <w:rPr>
          <w:rFonts w:ascii="Times New Roman" w:hAnsi="Times New Roman" w:cs="Times New Roman"/>
          <w:sz w:val="24"/>
          <w:szCs w:val="24"/>
        </w:rPr>
        <w:t>;</w:t>
      </w:r>
    </w:p>
    <w:p w14:paraId="2FE36366" w14:textId="645690C9" w:rsidR="003D1F4E" w:rsidRPr="00546D82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ESMA</w:t>
      </w:r>
      <w:r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992D3B" w:rsidRPr="00546D82">
        <w:rPr>
          <w:rFonts w:ascii="Times New Roman" w:hAnsi="Times New Roman" w:cs="Times New Roman"/>
          <w:sz w:val="24"/>
          <w:szCs w:val="24"/>
        </w:rPr>
        <w:t>–</w:t>
      </w:r>
      <w:r w:rsidRPr="00546D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D82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546D82">
        <w:rPr>
          <w:rFonts w:ascii="Times New Roman" w:hAnsi="Times New Roman" w:cs="Times New Roman"/>
          <w:sz w:val="24"/>
          <w:szCs w:val="24"/>
        </w:rPr>
        <w:t xml:space="preserve"> S</w:t>
      </w:r>
      <w:r w:rsidR="00992D3B" w:rsidRPr="00546D82">
        <w:rPr>
          <w:rFonts w:ascii="Times New Roman" w:hAnsi="Times New Roman" w:cs="Times New Roman"/>
          <w:sz w:val="24"/>
          <w:szCs w:val="24"/>
        </w:rPr>
        <w:t xml:space="preserve">ecurities and </w:t>
      </w:r>
      <w:proofErr w:type="spellStart"/>
      <w:r w:rsidR="00992D3B" w:rsidRPr="00546D82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="00992D3B" w:rsidRPr="00546D82">
        <w:rPr>
          <w:rFonts w:ascii="Times New Roman" w:hAnsi="Times New Roman" w:cs="Times New Roman"/>
          <w:sz w:val="24"/>
          <w:szCs w:val="24"/>
        </w:rPr>
        <w:t xml:space="preserve"> Authority;</w:t>
      </w:r>
    </w:p>
    <w:p w14:paraId="41690B6F" w14:textId="37D36673" w:rsidR="003D1F4E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bCs/>
          <w:sz w:val="24"/>
          <w:szCs w:val="24"/>
        </w:rPr>
        <w:t>Istotna zmiana</w:t>
      </w:r>
      <w:r w:rsidR="00B15F60" w:rsidRPr="00546D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2D3B" w:rsidRPr="00546D82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46D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zmiana sposobu wyznaczania Wskaźnika referencyjnego, którą Administrator uznał i zdefiniował jako istotną, zgodnie z art. 13 Rozporządzenia BMR lub zgodnie z definicją i informacjami publikowanymi przez Administratora w dokumentacji Wskaźnika referencyjnego</w:t>
      </w:r>
      <w:r w:rsidR="004F20E3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7259CB9F" w14:textId="56174395" w:rsidR="00D3715C" w:rsidRPr="00546D82" w:rsidRDefault="00D3715C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546D82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546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Komórka analiz</w:t>
      </w:r>
      <w:r w:rsidRPr="00546D82">
        <w:rPr>
          <w:rFonts w:ascii="Times New Roman" w:hAnsi="Times New Roman" w:cs="Times New Roman"/>
          <w:sz w:val="24"/>
          <w:szCs w:val="24"/>
        </w:rPr>
        <w:t xml:space="preserve"> ryzyka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2AEB469" w14:textId="25C124DA" w:rsidR="006652ED" w:rsidRPr="00546D82" w:rsidRDefault="006652ED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 xml:space="preserve">Klauzula awaryjna – </w:t>
      </w:r>
      <w:r w:rsidRPr="00546D82">
        <w:rPr>
          <w:rFonts w:ascii="Times New Roman" w:hAnsi="Times New Roman" w:cs="Times New Roman"/>
          <w:sz w:val="24"/>
          <w:szCs w:val="24"/>
        </w:rPr>
        <w:t>postanowieni</w:t>
      </w:r>
      <w:r w:rsidR="00871A18" w:rsidRPr="00546D82">
        <w:rPr>
          <w:rFonts w:ascii="Times New Roman" w:hAnsi="Times New Roman" w:cs="Times New Roman"/>
          <w:sz w:val="24"/>
          <w:szCs w:val="24"/>
        </w:rPr>
        <w:t>a</w:t>
      </w:r>
      <w:r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871A18" w:rsidRPr="00546D82">
        <w:rPr>
          <w:rFonts w:ascii="Times New Roman" w:hAnsi="Times New Roman" w:cs="Times New Roman"/>
          <w:sz w:val="24"/>
          <w:szCs w:val="24"/>
        </w:rPr>
        <w:t xml:space="preserve">umowy pomiędzy Bankiem a Klientem regulujące sposób postępowania w przypadku Istotnej zmiany Wskaźnika referencyjnego </w:t>
      </w:r>
      <w:r w:rsidR="003326BE" w:rsidRPr="00546D82">
        <w:rPr>
          <w:rFonts w:ascii="Times New Roman" w:hAnsi="Times New Roman" w:cs="Times New Roman"/>
          <w:sz w:val="24"/>
          <w:szCs w:val="24"/>
        </w:rPr>
        <w:t xml:space="preserve">oraz w przypadku </w:t>
      </w:r>
      <w:r w:rsidR="00871A18" w:rsidRPr="00546D82">
        <w:rPr>
          <w:rFonts w:ascii="Times New Roman" w:hAnsi="Times New Roman" w:cs="Times New Roman"/>
          <w:sz w:val="24"/>
          <w:szCs w:val="24"/>
        </w:rPr>
        <w:t>zaprzestania opracowywania Wskaźnika referencyjnego na skutek wystąpienia Zdarzenia regulacyjnego;</w:t>
      </w:r>
    </w:p>
    <w:p w14:paraId="4F7F9886" w14:textId="52EEE0FA" w:rsidR="003011F5" w:rsidRPr="00D3715C" w:rsidRDefault="003D1F4E" w:rsidP="00D3715C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bCs/>
          <w:sz w:val="24"/>
          <w:szCs w:val="24"/>
        </w:rPr>
        <w:t>Korekta</w:t>
      </w:r>
      <w:r w:rsidRPr="00546D82">
        <w:rPr>
          <w:rFonts w:ascii="Times New Roman" w:hAnsi="Times New Roman" w:cs="Times New Roman"/>
          <w:sz w:val="24"/>
          <w:szCs w:val="24"/>
        </w:rPr>
        <w:t xml:space="preserve"> –</w:t>
      </w:r>
      <w:r w:rsidR="00C261B8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formuła obliczenia wartości oprocentowania z</w:t>
      </w:r>
      <w:r w:rsidR="00992D3B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zastosowaniem Wskaźnika alternatywnego niezbędna w celu skompensowania ekonomicznych skutków Istotnej zmiany Wskaźnika referencyjnego albo Zdarzenia regulacyjnego związanego z zastąpieniem dotychczasowego Wskaźnika referencyjnego przez Wskaźnik alternatywny</w:t>
      </w:r>
      <w:r w:rsidR="00223BD2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786B3783" w14:textId="2985685A" w:rsidR="003D1F4E" w:rsidRPr="00546D82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bCs/>
          <w:sz w:val="24"/>
          <w:szCs w:val="24"/>
        </w:rPr>
        <w:t xml:space="preserve">Podmiot wyznaczający </w:t>
      </w:r>
      <w:r w:rsidRPr="00546D82">
        <w:rPr>
          <w:rFonts w:ascii="Times New Roman" w:hAnsi="Times New Roman" w:cs="Times New Roman"/>
          <w:sz w:val="24"/>
          <w:szCs w:val="24"/>
        </w:rPr>
        <w:t xml:space="preserve">– Komisja Europejska, organ nadzoru nad Administratorem, uprawniony organ administracji publicznej lub inny podmiot uprawniony zgodnie </w:t>
      </w:r>
      <w:r w:rsidR="00551129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z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obowiązującymi przepisami do wyznaczenia Wskaźnika alternatywnego oraz Korekty</w:t>
      </w:r>
      <w:r w:rsidR="00223BD2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7E0113BE" w14:textId="2324C54D" w:rsidR="00C55633" w:rsidRPr="00546D82" w:rsidRDefault="00C55633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produkt</w:t>
      </w:r>
      <w:r w:rsidRPr="00546D82">
        <w:rPr>
          <w:rFonts w:ascii="Times New Roman" w:hAnsi="Times New Roman" w:cs="Times New Roman"/>
          <w:sz w:val="24"/>
          <w:szCs w:val="24"/>
        </w:rPr>
        <w:t xml:space="preserve"> – produkt bankowy oferowany przez Bank, w szczególności na podstawie umowy </w:t>
      </w:r>
      <w:r w:rsidR="00C261B8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 xml:space="preserve">o kredyt wymienionej w art. 3 ust. 1 pkt 18 lit. a i b </w:t>
      </w:r>
      <w:r w:rsidR="00396C74" w:rsidRPr="00546D82">
        <w:rPr>
          <w:rFonts w:ascii="Times New Roman" w:hAnsi="Times New Roman" w:cs="Times New Roman"/>
          <w:sz w:val="24"/>
          <w:szCs w:val="24"/>
        </w:rPr>
        <w:t xml:space="preserve">Rozporządzenia </w:t>
      </w:r>
      <w:r w:rsidRPr="00546D82">
        <w:rPr>
          <w:rFonts w:ascii="Times New Roman" w:hAnsi="Times New Roman" w:cs="Times New Roman"/>
          <w:sz w:val="24"/>
          <w:szCs w:val="24"/>
        </w:rPr>
        <w:t xml:space="preserve">BMR, lub oferowany przez Bank instrument finansowy zgodny z definicją zawartą w art. 3 ust. 1 pkt 16 </w:t>
      </w:r>
      <w:r w:rsidR="00396C74" w:rsidRPr="00546D82">
        <w:rPr>
          <w:rFonts w:ascii="Times New Roman" w:hAnsi="Times New Roman" w:cs="Times New Roman"/>
          <w:sz w:val="24"/>
          <w:szCs w:val="24"/>
        </w:rPr>
        <w:t xml:space="preserve">Rozporządzenia </w:t>
      </w:r>
      <w:r w:rsidRPr="00546D82">
        <w:rPr>
          <w:rFonts w:ascii="Times New Roman" w:hAnsi="Times New Roman" w:cs="Times New Roman"/>
          <w:sz w:val="24"/>
          <w:szCs w:val="24"/>
        </w:rPr>
        <w:t>BMR, do którego ma zastosowanie Wskaźnik referencyjny;</w:t>
      </w:r>
    </w:p>
    <w:p w14:paraId="443D88F0" w14:textId="4DD9E5AF" w:rsidR="003D1F4E" w:rsidRPr="00546D82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bCs/>
          <w:sz w:val="24"/>
          <w:szCs w:val="24"/>
        </w:rPr>
        <w:t>Rozporządzenie BMR</w:t>
      </w:r>
      <w:r w:rsidRPr="00546D82">
        <w:rPr>
          <w:rFonts w:ascii="Times New Roman" w:hAnsi="Times New Roman" w:cs="Times New Roman"/>
          <w:sz w:val="24"/>
          <w:szCs w:val="24"/>
        </w:rPr>
        <w:t xml:space="preserve"> – Rozporządzenie Parlamentu Europejskiego i Rady (UE) 2016/1011 </w:t>
      </w:r>
      <w:r w:rsidR="00992D3B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 xml:space="preserve">z dnia 8 czerwca 2016 r. w sprawie indeksów stosowanych jako wskaźniki referencyjne </w:t>
      </w:r>
      <w:r w:rsidR="00C261B8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w instrumentach finansowych i umowach finansowych lub do pomiaru wyników funduszy inwestycyjnych i zmieniające dyrektywy 2008/48/WE i 2014/17/UE oraz rozporządzenie (UE) nr 596/2014 z późniejszymi zmianami</w:t>
      </w:r>
      <w:r w:rsidR="00223BD2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70DAD5D7" w14:textId="4009A7D0" w:rsidR="00D3715C" w:rsidRPr="00D3715C" w:rsidRDefault="00D3715C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715C">
        <w:rPr>
          <w:rFonts w:ascii="Times New Roman" w:hAnsi="Times New Roman" w:cs="Times New Roman"/>
          <w:b/>
          <w:bCs/>
          <w:sz w:val="24"/>
          <w:szCs w:val="24"/>
        </w:rPr>
        <w:t>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Stanowisko Kredytów i Marketingu;</w:t>
      </w:r>
    </w:p>
    <w:p w14:paraId="07BB2BD8" w14:textId="55888172" w:rsidR="003D1F4E" w:rsidRPr="00546D82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bCs/>
          <w:sz w:val="24"/>
          <w:szCs w:val="24"/>
        </w:rPr>
        <w:lastRenderedPageBreak/>
        <w:t>Wskaźnik alternatywny</w:t>
      </w:r>
      <w:r w:rsidRPr="00546D82">
        <w:rPr>
          <w:rFonts w:ascii="Times New Roman" w:hAnsi="Times New Roman" w:cs="Times New Roman"/>
          <w:sz w:val="24"/>
          <w:szCs w:val="24"/>
        </w:rPr>
        <w:t xml:space="preserve"> – </w:t>
      </w:r>
      <w:r w:rsidR="00B15F60" w:rsidRPr="00546D82">
        <w:rPr>
          <w:rFonts w:ascii="Times New Roman" w:hAnsi="Times New Roman" w:cs="Times New Roman"/>
          <w:sz w:val="24"/>
          <w:szCs w:val="24"/>
        </w:rPr>
        <w:t>w</w:t>
      </w:r>
      <w:r w:rsidRPr="00546D82">
        <w:rPr>
          <w:rFonts w:ascii="Times New Roman" w:hAnsi="Times New Roman" w:cs="Times New Roman"/>
          <w:sz w:val="24"/>
          <w:szCs w:val="24"/>
        </w:rPr>
        <w:t>skaźnik referencyjny zastępujący dotychczasowy Wskaźnik referencyjny, dla którego wystąpiło Zdarzenie regulacyjne</w:t>
      </w:r>
      <w:r w:rsidR="00E0182C" w:rsidRPr="00546D82">
        <w:rPr>
          <w:rFonts w:ascii="Times New Roman" w:hAnsi="Times New Roman" w:cs="Times New Roman"/>
          <w:sz w:val="24"/>
          <w:szCs w:val="24"/>
        </w:rPr>
        <w:t xml:space="preserve">, </w:t>
      </w:r>
      <w:r w:rsidR="00E0182C" w:rsidRPr="00546D82">
        <w:rPr>
          <w:rFonts w:ascii="Times New Roman" w:hAnsi="Times New Roman" w:cs="Times New Roman"/>
          <w:bCs/>
          <w:sz w:val="24"/>
          <w:szCs w:val="24"/>
        </w:rPr>
        <w:t>w szczególności, zamiennik wskaźnika referencyjnego wyznaczony przez Podmiot wyznaczający na podstawie Rozdziału 4A Rozporządzenia BMR</w:t>
      </w:r>
      <w:r w:rsidRPr="00546D82">
        <w:rPr>
          <w:rFonts w:ascii="Times New Roman" w:hAnsi="Times New Roman" w:cs="Times New Roman"/>
          <w:sz w:val="24"/>
          <w:szCs w:val="24"/>
        </w:rPr>
        <w:t>;</w:t>
      </w:r>
    </w:p>
    <w:p w14:paraId="328DA9FA" w14:textId="502AF52E" w:rsidR="003D1F4E" w:rsidRPr="00546D82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bCs/>
          <w:sz w:val="24"/>
          <w:szCs w:val="24"/>
        </w:rPr>
        <w:t xml:space="preserve">Wskaźnik referencyjny </w:t>
      </w:r>
      <w:r w:rsidRPr="00546D82">
        <w:rPr>
          <w:rFonts w:ascii="Times New Roman" w:hAnsi="Times New Roman" w:cs="Times New Roman"/>
          <w:sz w:val="24"/>
          <w:szCs w:val="24"/>
        </w:rPr>
        <w:t>– wskaźnik referencyjny w rozumieniu Rozporządzenia BMR</w:t>
      </w:r>
      <w:r w:rsidR="00992D3B" w:rsidRPr="00546D82">
        <w:rPr>
          <w:rFonts w:ascii="Times New Roman" w:hAnsi="Times New Roman" w:cs="Times New Roman"/>
          <w:sz w:val="24"/>
          <w:szCs w:val="24"/>
        </w:rPr>
        <w:t>,</w:t>
      </w:r>
      <w:r w:rsidRPr="00546D82">
        <w:rPr>
          <w:rFonts w:ascii="Times New Roman" w:hAnsi="Times New Roman" w:cs="Times New Roman"/>
          <w:sz w:val="24"/>
          <w:szCs w:val="24"/>
        </w:rPr>
        <w:t xml:space="preserve"> będący indeksem stanowiącym odniesienie do określenia kwoty przypadającej do zapłaty z</w:t>
      </w:r>
      <w:r w:rsidR="00992D3B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tytułu kredytu</w:t>
      </w:r>
      <w:r w:rsidR="00223BD2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69F8C262" w14:textId="732663D9" w:rsidR="00C60978" w:rsidRPr="00546D82" w:rsidRDefault="00C60978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Zarząd</w:t>
      </w:r>
      <w:r w:rsidRPr="00546D82">
        <w:rPr>
          <w:rFonts w:ascii="Times New Roman" w:hAnsi="Times New Roman" w:cs="Times New Roman"/>
          <w:sz w:val="24"/>
          <w:szCs w:val="24"/>
        </w:rPr>
        <w:t xml:space="preserve"> – Zarząd Banku;</w:t>
      </w:r>
    </w:p>
    <w:p w14:paraId="7FBEB19C" w14:textId="26C18ADB" w:rsidR="003D1F4E" w:rsidRPr="00546D82" w:rsidRDefault="003D1F4E" w:rsidP="00863CD2">
      <w:pPr>
        <w:pStyle w:val="Akapitzlist"/>
        <w:numPr>
          <w:ilvl w:val="0"/>
          <w:numId w:val="15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b/>
          <w:bCs/>
          <w:sz w:val="24"/>
          <w:szCs w:val="24"/>
        </w:rPr>
        <w:t>Zdarzenie regulacyjne</w:t>
      </w:r>
      <w:r w:rsidRPr="00546D82">
        <w:rPr>
          <w:rFonts w:ascii="Times New Roman" w:hAnsi="Times New Roman" w:cs="Times New Roman"/>
          <w:sz w:val="24"/>
          <w:szCs w:val="24"/>
        </w:rPr>
        <w:t xml:space="preserve"> – wystąpienie jednego lub kilku z następujących zdarzeń (niezależnych od Banku) w stosunku do Wskaźnika referencyjnego:</w:t>
      </w:r>
    </w:p>
    <w:p w14:paraId="51B0AD0D" w14:textId="563B419D" w:rsidR="003D1F4E" w:rsidRPr="00546D82" w:rsidRDefault="003D1F4E" w:rsidP="00863CD2">
      <w:pPr>
        <w:pStyle w:val="Akapitzlist"/>
        <w:numPr>
          <w:ilvl w:val="0"/>
          <w:numId w:val="16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wydanie przez Administratora oświadczenia o trwałym zaprzestaniu opracowywania lub publikowania Wskaźnika referencyjnego, o ile nie został wyznaczony następca tego Administratora, który będzie opracowywał i publikował ten Wskaźnik referencyjny </w:t>
      </w:r>
      <w:r w:rsidRPr="00546D82">
        <w:rPr>
          <w:rFonts w:ascii="Times New Roman" w:hAnsi="Times New Roman" w:cs="Times New Roman"/>
          <w:i/>
          <w:sz w:val="24"/>
          <w:szCs w:val="24"/>
        </w:rPr>
        <w:t>lub</w:t>
      </w:r>
    </w:p>
    <w:p w14:paraId="01EB9D79" w14:textId="76EE736B" w:rsidR="003D1F4E" w:rsidRPr="00546D82" w:rsidRDefault="003D1F4E" w:rsidP="00863CD2">
      <w:pPr>
        <w:pStyle w:val="Akapitzlist"/>
        <w:numPr>
          <w:ilvl w:val="0"/>
          <w:numId w:val="16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stwierdzenie przez właściwy organ nadzoru, że Administrator lub Wskaźnik referencyjny przez niego opracowywany nie spełnia lub przestał spełniać wymogi wynikające z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 xml:space="preserve">mających zastosowanie przepisów prawa, w tym z Rozporządzenia BMR </w:t>
      </w:r>
      <w:r w:rsidRPr="00546D82">
        <w:rPr>
          <w:rFonts w:ascii="Times New Roman" w:hAnsi="Times New Roman" w:cs="Times New Roman"/>
          <w:i/>
          <w:sz w:val="24"/>
          <w:szCs w:val="24"/>
        </w:rPr>
        <w:t>lub</w:t>
      </w:r>
    </w:p>
    <w:p w14:paraId="4704E4F4" w14:textId="32E03594" w:rsidR="003D1F4E" w:rsidRPr="00546D82" w:rsidRDefault="003D1F4E" w:rsidP="00863CD2">
      <w:pPr>
        <w:pStyle w:val="Akapitzlist"/>
        <w:numPr>
          <w:ilvl w:val="0"/>
          <w:numId w:val="16"/>
        </w:numPr>
        <w:tabs>
          <w:tab w:val="left" w:pos="-720"/>
          <w:tab w:val="left" w:pos="0"/>
          <w:tab w:val="left" w:pos="426"/>
          <w:tab w:val="left" w:pos="127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niedostępność aktualnej wartości Wskaźnika referencyjnego w źródle informacji </w:t>
      </w:r>
      <w:r w:rsidR="00C261B8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 xml:space="preserve">o Wskaźniku referencyjnym wskazanym przez Administratora przez okres dłuższy </w:t>
      </w:r>
      <w:r w:rsidR="00C261B8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niż 30 dni.</w:t>
      </w:r>
    </w:p>
    <w:p w14:paraId="4A9E3884" w14:textId="7C61B389" w:rsidR="003D1F4E" w:rsidRPr="00546D82" w:rsidRDefault="00551129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§</w:t>
      </w:r>
      <w:r w:rsidR="00546E39" w:rsidRPr="00546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b/>
          <w:sz w:val="24"/>
          <w:szCs w:val="24"/>
        </w:rPr>
        <w:t>3.</w:t>
      </w:r>
    </w:p>
    <w:p w14:paraId="50B8E087" w14:textId="53C0CAD6" w:rsidR="00023931" w:rsidRPr="00546D82" w:rsidRDefault="001A4B0D" w:rsidP="00863CD2">
      <w:pPr>
        <w:numPr>
          <w:ilvl w:val="0"/>
          <w:numId w:val="1"/>
        </w:numPr>
        <w:spacing w:before="6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Plan </w:t>
      </w:r>
      <w:r w:rsidR="003D1F4E" w:rsidRPr="00546D82">
        <w:rPr>
          <w:rFonts w:ascii="Times New Roman" w:hAnsi="Times New Roman" w:cs="Times New Roman"/>
          <w:sz w:val="24"/>
          <w:szCs w:val="24"/>
        </w:rPr>
        <w:t xml:space="preserve">odnosi się do Wskaźników referencyjnych stosowanych przez Bank w produktach </w:t>
      </w:r>
      <w:r w:rsidR="00551129" w:rsidRPr="00546D82">
        <w:rPr>
          <w:rFonts w:ascii="Times New Roman" w:hAnsi="Times New Roman" w:cs="Times New Roman"/>
          <w:sz w:val="24"/>
          <w:szCs w:val="24"/>
        </w:rPr>
        <w:br/>
      </w:r>
      <w:r w:rsidR="003D1F4E" w:rsidRPr="00546D82">
        <w:rPr>
          <w:rFonts w:ascii="Times New Roman" w:hAnsi="Times New Roman" w:cs="Times New Roman"/>
          <w:sz w:val="24"/>
          <w:szCs w:val="24"/>
        </w:rPr>
        <w:t>i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3D1F4E" w:rsidRPr="00546D82">
        <w:rPr>
          <w:rFonts w:ascii="Times New Roman" w:hAnsi="Times New Roman" w:cs="Times New Roman"/>
          <w:sz w:val="24"/>
          <w:szCs w:val="24"/>
        </w:rPr>
        <w:t>usługach znajdujących się w ofercie Banku.</w:t>
      </w:r>
    </w:p>
    <w:p w14:paraId="73FC519B" w14:textId="21FC52CA" w:rsidR="00335631" w:rsidRPr="00546D82" w:rsidRDefault="00335631" w:rsidP="00863CD2">
      <w:pPr>
        <w:numPr>
          <w:ilvl w:val="0"/>
          <w:numId w:val="1"/>
        </w:numPr>
        <w:spacing w:before="6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Stosowanie Wskaźnika referencyjnego przez Bank oznacza</w:t>
      </w:r>
      <w:r w:rsidR="00F55373" w:rsidRPr="00546D82">
        <w:rPr>
          <w:rFonts w:ascii="Times New Roman" w:hAnsi="Times New Roman" w:cs="Times New Roman"/>
          <w:sz w:val="24"/>
          <w:szCs w:val="24"/>
        </w:rPr>
        <w:t>,</w:t>
      </w:r>
      <w:r w:rsidRPr="00546D82">
        <w:rPr>
          <w:rFonts w:ascii="Times New Roman" w:hAnsi="Times New Roman" w:cs="Times New Roman"/>
          <w:sz w:val="24"/>
          <w:szCs w:val="24"/>
        </w:rPr>
        <w:t xml:space="preserve"> w szczególności:</w:t>
      </w:r>
    </w:p>
    <w:p w14:paraId="31D3A8B6" w14:textId="6B2FDDC1" w:rsidR="00335631" w:rsidRPr="00546D82" w:rsidRDefault="00335631" w:rsidP="00863CD2">
      <w:pPr>
        <w:numPr>
          <w:ilvl w:val="1"/>
          <w:numId w:val="2"/>
        </w:numPr>
        <w:spacing w:before="6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emitowanie instrumentu finansowego, dla którego </w:t>
      </w:r>
      <w:r w:rsidR="00772BC1" w:rsidRPr="00546D82">
        <w:rPr>
          <w:rFonts w:ascii="Times New Roman" w:hAnsi="Times New Roman" w:cs="Times New Roman"/>
          <w:sz w:val="24"/>
          <w:szCs w:val="24"/>
        </w:rPr>
        <w:t xml:space="preserve">Wskaźnik referencyjny </w:t>
      </w:r>
      <w:r w:rsidRPr="00546D82">
        <w:rPr>
          <w:rFonts w:ascii="Times New Roman" w:hAnsi="Times New Roman" w:cs="Times New Roman"/>
          <w:sz w:val="24"/>
          <w:szCs w:val="24"/>
        </w:rPr>
        <w:t xml:space="preserve">lub kombinacja </w:t>
      </w:r>
      <w:r w:rsidR="00772BC1" w:rsidRPr="00546D82">
        <w:rPr>
          <w:rFonts w:ascii="Times New Roman" w:hAnsi="Times New Roman" w:cs="Times New Roman"/>
          <w:sz w:val="24"/>
          <w:szCs w:val="24"/>
        </w:rPr>
        <w:t xml:space="preserve">Wskaźników referencyjnych </w:t>
      </w:r>
      <w:r w:rsidRPr="00546D82">
        <w:rPr>
          <w:rFonts w:ascii="Times New Roman" w:hAnsi="Times New Roman" w:cs="Times New Roman"/>
          <w:sz w:val="24"/>
          <w:szCs w:val="24"/>
        </w:rPr>
        <w:t>stanowi odniesienie</w:t>
      </w:r>
      <w:r w:rsidR="00772BC1" w:rsidRPr="00546D82">
        <w:rPr>
          <w:rFonts w:ascii="Times New Roman" w:hAnsi="Times New Roman" w:cs="Times New Roman"/>
          <w:sz w:val="24"/>
          <w:szCs w:val="24"/>
        </w:rPr>
        <w:t xml:space="preserve"> do wyliczenia oprocentowania,</w:t>
      </w:r>
    </w:p>
    <w:p w14:paraId="1FFC1C45" w14:textId="57240413" w:rsidR="00335631" w:rsidRPr="00546D82" w:rsidRDefault="00335631" w:rsidP="00863CD2">
      <w:pPr>
        <w:numPr>
          <w:ilvl w:val="1"/>
          <w:numId w:val="2"/>
        </w:numPr>
        <w:spacing w:before="6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określanie kwoty przypadającej do zapłaty z tytułu produktu poprzez odniesienie </w:t>
      </w:r>
      <w:r w:rsidR="005E1436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 xml:space="preserve">do </w:t>
      </w:r>
      <w:r w:rsidR="00772BC1" w:rsidRPr="00546D82">
        <w:rPr>
          <w:rFonts w:ascii="Times New Roman" w:hAnsi="Times New Roman" w:cs="Times New Roman"/>
          <w:sz w:val="24"/>
          <w:szCs w:val="24"/>
        </w:rPr>
        <w:t>Wskaźnika referencyjnego lub kombinacji Wskaźników referencyjnych,</w:t>
      </w:r>
    </w:p>
    <w:p w14:paraId="0232464C" w14:textId="3D5878CB" w:rsidR="00335631" w:rsidRPr="00546D82" w:rsidRDefault="00772BC1" w:rsidP="00863CD2">
      <w:pPr>
        <w:numPr>
          <w:ilvl w:val="1"/>
          <w:numId w:val="2"/>
        </w:numPr>
        <w:spacing w:before="6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zawarcie</w:t>
      </w:r>
      <w:r w:rsidR="00335631" w:rsidRPr="00546D82">
        <w:rPr>
          <w:rFonts w:ascii="Times New Roman" w:hAnsi="Times New Roman" w:cs="Times New Roman"/>
          <w:sz w:val="24"/>
          <w:szCs w:val="24"/>
        </w:rPr>
        <w:t xml:space="preserve"> umowy finansowej, dla której </w:t>
      </w:r>
      <w:r w:rsidRPr="00546D82">
        <w:rPr>
          <w:rFonts w:ascii="Times New Roman" w:hAnsi="Times New Roman" w:cs="Times New Roman"/>
          <w:sz w:val="24"/>
          <w:szCs w:val="24"/>
        </w:rPr>
        <w:t xml:space="preserve">Wskaźnik referencyjny lub kombinacja Wskaźników referencyjnych </w:t>
      </w:r>
      <w:r w:rsidR="00335631" w:rsidRPr="00546D82">
        <w:rPr>
          <w:rFonts w:ascii="Times New Roman" w:hAnsi="Times New Roman" w:cs="Times New Roman"/>
          <w:sz w:val="24"/>
          <w:szCs w:val="24"/>
        </w:rPr>
        <w:t>stanowią odniesienie</w:t>
      </w:r>
      <w:r w:rsidRPr="00546D82">
        <w:rPr>
          <w:rFonts w:ascii="Times New Roman" w:hAnsi="Times New Roman" w:cs="Times New Roman"/>
          <w:sz w:val="24"/>
          <w:szCs w:val="24"/>
        </w:rPr>
        <w:t xml:space="preserve"> do wyliczenia oprocentowania.</w:t>
      </w:r>
    </w:p>
    <w:p w14:paraId="2632553A" w14:textId="518A9372" w:rsidR="00335631" w:rsidRPr="00546D82" w:rsidRDefault="00335631" w:rsidP="00863CD2">
      <w:pPr>
        <w:numPr>
          <w:ilvl w:val="0"/>
          <w:numId w:val="1"/>
        </w:numPr>
        <w:spacing w:before="6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Bank stosuje Wskaźnik referencyjny w produktac</w:t>
      </w:r>
      <w:r w:rsidR="005E1436" w:rsidRPr="00546D82">
        <w:rPr>
          <w:rFonts w:ascii="Times New Roman" w:hAnsi="Times New Roman" w:cs="Times New Roman"/>
          <w:sz w:val="24"/>
          <w:szCs w:val="24"/>
        </w:rPr>
        <w:t xml:space="preserve">h na podstawie umowy zawartej </w:t>
      </w:r>
      <w:r w:rsidR="005E1436" w:rsidRPr="00546D82">
        <w:rPr>
          <w:rFonts w:ascii="Times New Roman" w:hAnsi="Times New Roman" w:cs="Times New Roman"/>
          <w:sz w:val="24"/>
          <w:szCs w:val="24"/>
        </w:rPr>
        <w:br/>
        <w:t xml:space="preserve">z </w:t>
      </w:r>
      <w:r w:rsidRPr="00546D82">
        <w:rPr>
          <w:rFonts w:ascii="Times New Roman" w:hAnsi="Times New Roman" w:cs="Times New Roman"/>
          <w:sz w:val="24"/>
          <w:szCs w:val="24"/>
        </w:rPr>
        <w:t>Administratorem tego wskaźnika</w:t>
      </w:r>
      <w:r w:rsidR="005D41DF" w:rsidRPr="00546D82">
        <w:rPr>
          <w:rFonts w:ascii="Times New Roman" w:hAnsi="Times New Roman" w:cs="Times New Roman"/>
          <w:sz w:val="24"/>
          <w:szCs w:val="24"/>
        </w:rPr>
        <w:t>, o ile taka umowa jest wymagana</w:t>
      </w:r>
      <w:r w:rsidRPr="00546D82">
        <w:rPr>
          <w:rFonts w:ascii="Times New Roman" w:hAnsi="Times New Roman" w:cs="Times New Roman"/>
          <w:sz w:val="24"/>
          <w:szCs w:val="24"/>
        </w:rPr>
        <w:t>.</w:t>
      </w:r>
    </w:p>
    <w:p w14:paraId="1DEE50E1" w14:textId="50C7E399" w:rsidR="003D1F4E" w:rsidRPr="00546D82" w:rsidRDefault="003D1F4E" w:rsidP="00863CD2">
      <w:pPr>
        <w:numPr>
          <w:ilvl w:val="0"/>
          <w:numId w:val="1"/>
        </w:numPr>
        <w:spacing w:before="6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Wykaz Wskaźników referencyjnych stosowanych 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przez Bank stanowi Załącznik nr </w:t>
      </w:r>
      <w:r w:rsidRPr="00546D82">
        <w:rPr>
          <w:rFonts w:ascii="Times New Roman" w:hAnsi="Times New Roman" w:cs="Times New Roman"/>
          <w:sz w:val="24"/>
          <w:szCs w:val="24"/>
        </w:rPr>
        <w:t>1 do Planu.</w:t>
      </w:r>
    </w:p>
    <w:p w14:paraId="5103D21C" w14:textId="75E6B8E8" w:rsidR="0037593F" w:rsidRPr="00546D82" w:rsidRDefault="0037593F" w:rsidP="00551129">
      <w:pPr>
        <w:pStyle w:val="Nagwek1"/>
        <w:spacing w:before="480" w:after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94023537"/>
      <w:r w:rsidRPr="00546D82">
        <w:rPr>
          <w:rFonts w:ascii="Times New Roman" w:hAnsi="Times New Roman" w:cs="Times New Roman"/>
          <w:sz w:val="24"/>
          <w:szCs w:val="24"/>
        </w:rPr>
        <w:t>Rozdział 2.</w:t>
      </w:r>
      <w:r w:rsidRPr="00546D82">
        <w:rPr>
          <w:rFonts w:ascii="Times New Roman" w:hAnsi="Times New Roman" w:cs="Times New Roman"/>
          <w:sz w:val="24"/>
          <w:szCs w:val="24"/>
        </w:rPr>
        <w:tab/>
      </w:r>
      <w:r w:rsidR="00204FEE" w:rsidRPr="00546D82">
        <w:rPr>
          <w:rFonts w:ascii="Times New Roman" w:hAnsi="Times New Roman" w:cs="Times New Roman"/>
          <w:sz w:val="24"/>
          <w:szCs w:val="24"/>
        </w:rPr>
        <w:t>Zasady wyznaczania Wskaźnika referencyjnego</w:t>
      </w:r>
      <w:bookmarkEnd w:id="1"/>
    </w:p>
    <w:p w14:paraId="6E402E39" w14:textId="7EB46984" w:rsidR="003E042B" w:rsidRPr="00546D82" w:rsidRDefault="00551129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§</w:t>
      </w:r>
      <w:r w:rsidR="00546E39" w:rsidRPr="00546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b/>
          <w:sz w:val="24"/>
          <w:szCs w:val="24"/>
        </w:rPr>
        <w:t>4.</w:t>
      </w:r>
    </w:p>
    <w:p w14:paraId="2F3A3419" w14:textId="0482BD79" w:rsidR="003E042B" w:rsidRPr="00546D82" w:rsidRDefault="001A37A7" w:rsidP="00863CD2">
      <w:pPr>
        <w:pStyle w:val="Akapitzlist"/>
        <w:numPr>
          <w:ilvl w:val="0"/>
          <w:numId w:val="9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15FB7" w:rsidRPr="00546D82">
        <w:rPr>
          <w:rFonts w:ascii="Times New Roman" w:hAnsi="Times New Roman" w:cs="Times New Roman"/>
          <w:sz w:val="24"/>
          <w:szCs w:val="24"/>
        </w:rPr>
        <w:t>A</w:t>
      </w:r>
      <w:r w:rsidR="0016276E">
        <w:rPr>
          <w:rFonts w:ascii="Times New Roman" w:hAnsi="Times New Roman" w:cs="Times New Roman"/>
          <w:sz w:val="24"/>
          <w:szCs w:val="24"/>
        </w:rPr>
        <w:t>R</w:t>
      </w:r>
      <w:r w:rsidR="00C60978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3E042B" w:rsidRPr="00546D82">
        <w:rPr>
          <w:rFonts w:ascii="Times New Roman" w:hAnsi="Times New Roman" w:cs="Times New Roman"/>
          <w:sz w:val="24"/>
          <w:szCs w:val="24"/>
        </w:rPr>
        <w:t>monitoruj</w:t>
      </w:r>
      <w:r>
        <w:rPr>
          <w:rFonts w:ascii="Times New Roman" w:hAnsi="Times New Roman" w:cs="Times New Roman"/>
          <w:sz w:val="24"/>
          <w:szCs w:val="24"/>
        </w:rPr>
        <w:t>e</w:t>
      </w:r>
      <w:r w:rsidR="003E042B" w:rsidRPr="00546D82">
        <w:rPr>
          <w:rFonts w:ascii="Times New Roman" w:hAnsi="Times New Roman" w:cs="Times New Roman"/>
          <w:sz w:val="24"/>
          <w:szCs w:val="24"/>
        </w:rPr>
        <w:t xml:space="preserve"> rynek finansowy w zakresie Wskaźników referencyjnych i identyfikuj</w:t>
      </w:r>
      <w:r>
        <w:rPr>
          <w:rFonts w:ascii="Times New Roman" w:hAnsi="Times New Roman" w:cs="Times New Roman"/>
          <w:sz w:val="24"/>
          <w:szCs w:val="24"/>
        </w:rPr>
        <w:t>e</w:t>
      </w:r>
      <w:r w:rsidR="003E042B" w:rsidRPr="00546D82">
        <w:rPr>
          <w:rFonts w:ascii="Times New Roman" w:hAnsi="Times New Roman" w:cs="Times New Roman"/>
          <w:sz w:val="24"/>
          <w:szCs w:val="24"/>
        </w:rPr>
        <w:t xml:space="preserve"> Wskaźniki referencyjne mogące mieć potencjalne zastosowanie w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3E042B" w:rsidRPr="00546D82">
        <w:rPr>
          <w:rFonts w:ascii="Times New Roman" w:hAnsi="Times New Roman" w:cs="Times New Roman"/>
          <w:sz w:val="24"/>
          <w:szCs w:val="24"/>
        </w:rPr>
        <w:t>Banku. W szczególności</w:t>
      </w:r>
      <w:r w:rsidR="00715FB7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3E042B" w:rsidRPr="00546D82">
        <w:rPr>
          <w:rFonts w:ascii="Times New Roman" w:hAnsi="Times New Roman" w:cs="Times New Roman"/>
          <w:sz w:val="24"/>
          <w:szCs w:val="24"/>
        </w:rPr>
        <w:t>identyfikuj</w:t>
      </w:r>
      <w:r w:rsidR="00715FB7" w:rsidRPr="00546D82">
        <w:rPr>
          <w:rFonts w:ascii="Times New Roman" w:hAnsi="Times New Roman" w:cs="Times New Roman"/>
          <w:sz w:val="24"/>
          <w:szCs w:val="24"/>
        </w:rPr>
        <w:t>e</w:t>
      </w:r>
      <w:r w:rsidR="003E042B" w:rsidRPr="00546D82">
        <w:rPr>
          <w:rFonts w:ascii="Times New Roman" w:hAnsi="Times New Roman" w:cs="Times New Roman"/>
          <w:sz w:val="24"/>
          <w:szCs w:val="24"/>
        </w:rPr>
        <w:t xml:space="preserve"> Wskaźniki referencyjne, które są możliwe i zasadne do zastosowania </w:t>
      </w:r>
      <w:r w:rsidR="004B1B35" w:rsidRPr="00546D82">
        <w:rPr>
          <w:rFonts w:ascii="Times New Roman" w:hAnsi="Times New Roman" w:cs="Times New Roman"/>
          <w:sz w:val="24"/>
          <w:szCs w:val="24"/>
        </w:rPr>
        <w:br/>
      </w:r>
      <w:r w:rsidR="003E042B" w:rsidRPr="00546D82">
        <w:rPr>
          <w:rFonts w:ascii="Times New Roman" w:hAnsi="Times New Roman" w:cs="Times New Roman"/>
          <w:sz w:val="24"/>
          <w:szCs w:val="24"/>
        </w:rPr>
        <w:t xml:space="preserve">w Planie jako </w:t>
      </w:r>
      <w:r w:rsidR="006E488B" w:rsidRPr="00546D82">
        <w:rPr>
          <w:rFonts w:ascii="Times New Roman" w:hAnsi="Times New Roman" w:cs="Times New Roman"/>
          <w:sz w:val="24"/>
          <w:szCs w:val="24"/>
        </w:rPr>
        <w:t>W</w:t>
      </w:r>
      <w:r w:rsidR="003E042B" w:rsidRPr="00546D82">
        <w:rPr>
          <w:rFonts w:ascii="Times New Roman" w:hAnsi="Times New Roman" w:cs="Times New Roman"/>
          <w:sz w:val="24"/>
          <w:szCs w:val="24"/>
        </w:rPr>
        <w:t>skaźniki alternatywne dla stosowanych przez Bank Wskaźników referencyjnych.</w:t>
      </w:r>
    </w:p>
    <w:p w14:paraId="430CE3D2" w14:textId="4569881B" w:rsidR="006529E1" w:rsidRPr="00546D82" w:rsidRDefault="006529E1" w:rsidP="00863CD2">
      <w:pPr>
        <w:pStyle w:val="Akapitzlist"/>
        <w:numPr>
          <w:ilvl w:val="0"/>
          <w:numId w:val="9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Monitoring, o którym mowa w ust. 1, realizowany jest w szczególności w oparciu o dane dostępne na stronach internetowych Administratorów oraz organów nadzoru i oznacza </w:t>
      </w:r>
      <w:r w:rsidR="00036CEB" w:rsidRPr="00546D82">
        <w:rPr>
          <w:rFonts w:ascii="Times New Roman" w:hAnsi="Times New Roman" w:cs="Times New Roman"/>
          <w:sz w:val="24"/>
          <w:szCs w:val="24"/>
        </w:rPr>
        <w:t xml:space="preserve">m.in. </w:t>
      </w:r>
      <w:r w:rsidRPr="00546D82">
        <w:rPr>
          <w:rFonts w:ascii="Times New Roman" w:hAnsi="Times New Roman" w:cs="Times New Roman"/>
          <w:sz w:val="24"/>
          <w:szCs w:val="24"/>
        </w:rPr>
        <w:t>monitorowanie:</w:t>
      </w:r>
    </w:p>
    <w:p w14:paraId="608CD614" w14:textId="2DB8B34E" w:rsidR="006529E1" w:rsidRPr="00546D82" w:rsidRDefault="006529E1" w:rsidP="00863CD2">
      <w:pPr>
        <w:pStyle w:val="Akapitzlist"/>
        <w:numPr>
          <w:ilvl w:val="1"/>
          <w:numId w:val="9"/>
        </w:numPr>
        <w:spacing w:before="60"/>
        <w:ind w:left="851" w:hanging="44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informacji o czynnościach wykonywanych przez Administratorów, w tym przede wszystkim Wskaźników referencyjnych stosowanych przez Bank;</w:t>
      </w:r>
    </w:p>
    <w:p w14:paraId="15FDB647" w14:textId="0748449F" w:rsidR="006529E1" w:rsidRPr="00546D82" w:rsidRDefault="006529E1" w:rsidP="00863CD2">
      <w:pPr>
        <w:pStyle w:val="Akapitzlist"/>
        <w:numPr>
          <w:ilvl w:val="1"/>
          <w:numId w:val="9"/>
        </w:numPr>
        <w:spacing w:before="60"/>
        <w:ind w:left="851" w:hanging="44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lastRenderedPageBreak/>
        <w:t>działalności organów nadzoru właściwych dla Administratorów pod kątem wydanych ewentualnych komunikatów i decyzji dotyczących poszczególnych Wskaźników referencyjnych lub Administratorów.</w:t>
      </w:r>
    </w:p>
    <w:p w14:paraId="7B82C982" w14:textId="464F6D4D" w:rsidR="005C58AF" w:rsidRPr="00546D82" w:rsidRDefault="001A37A7" w:rsidP="00863CD2">
      <w:pPr>
        <w:pStyle w:val="Akapitzlist"/>
        <w:numPr>
          <w:ilvl w:val="0"/>
          <w:numId w:val="9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15FB7" w:rsidRPr="00546D8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</w:t>
      </w:r>
      <w:r w:rsidR="00C60978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04762F" w:rsidRPr="00546D82">
        <w:rPr>
          <w:rFonts w:ascii="Times New Roman" w:hAnsi="Times New Roman" w:cs="Times New Roman"/>
          <w:sz w:val="24"/>
          <w:szCs w:val="24"/>
        </w:rPr>
        <w:t xml:space="preserve">informuje </w:t>
      </w:r>
      <w:r w:rsidR="00C60978" w:rsidRPr="00546D82">
        <w:rPr>
          <w:rFonts w:ascii="Times New Roman" w:hAnsi="Times New Roman" w:cs="Times New Roman"/>
          <w:sz w:val="24"/>
          <w:szCs w:val="24"/>
        </w:rPr>
        <w:t>Zarząd</w:t>
      </w:r>
      <w:r w:rsidR="004B1B35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460DD6" w:rsidRPr="00546D82">
        <w:rPr>
          <w:rFonts w:ascii="Times New Roman" w:hAnsi="Times New Roman" w:cs="Times New Roman"/>
          <w:sz w:val="24"/>
          <w:szCs w:val="24"/>
        </w:rPr>
        <w:t>o</w:t>
      </w:r>
      <w:r w:rsidR="005C58AF" w:rsidRPr="00546D82">
        <w:rPr>
          <w:rFonts w:ascii="Times New Roman" w:hAnsi="Times New Roman" w:cs="Times New Roman"/>
          <w:sz w:val="24"/>
          <w:szCs w:val="24"/>
        </w:rPr>
        <w:t>:</w:t>
      </w:r>
    </w:p>
    <w:p w14:paraId="4A4AE76C" w14:textId="76CE5B93" w:rsidR="00E466A2" w:rsidRPr="00546D82" w:rsidRDefault="00460DD6" w:rsidP="00863CD2">
      <w:pPr>
        <w:pStyle w:val="Akapitzlist"/>
        <w:numPr>
          <w:ilvl w:val="0"/>
          <w:numId w:val="23"/>
        </w:numPr>
        <w:spacing w:before="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zidentyfikowanych Wskaźnikach referencyjnych mogących mieć potencjalne zastosowanie w Banku</w:t>
      </w:r>
      <w:r w:rsidR="005E1436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3820C491" w14:textId="11266683" w:rsidR="0004762F" w:rsidRPr="00546D82" w:rsidRDefault="00E466A2" w:rsidP="00863CD2">
      <w:pPr>
        <w:pStyle w:val="Akapitzlist"/>
        <w:numPr>
          <w:ilvl w:val="0"/>
          <w:numId w:val="23"/>
        </w:numPr>
        <w:spacing w:before="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konsultacjach publicznych prowadzonych przez Administratora w sprawie Istotnej zmiany</w:t>
      </w:r>
      <w:r w:rsidR="007D0546" w:rsidRPr="00546D82">
        <w:rPr>
          <w:rFonts w:ascii="Times New Roman" w:hAnsi="Times New Roman" w:cs="Times New Roman"/>
          <w:sz w:val="24"/>
          <w:szCs w:val="24"/>
        </w:rPr>
        <w:t>,</w:t>
      </w:r>
      <w:r w:rsidR="0004762F" w:rsidRPr="00546D82">
        <w:rPr>
          <w:rFonts w:ascii="Times New Roman" w:hAnsi="Times New Roman" w:cs="Times New Roman"/>
          <w:sz w:val="24"/>
          <w:szCs w:val="24"/>
        </w:rPr>
        <w:t xml:space="preserve"> z uwzględnieniem planowanego terminu wdrożenia zmiany</w:t>
      </w:r>
      <w:r w:rsidR="005E1436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7B1FC421" w14:textId="39369DE1" w:rsidR="00E466A2" w:rsidRPr="00546D82" w:rsidRDefault="00E466A2" w:rsidP="00863CD2">
      <w:pPr>
        <w:pStyle w:val="Akapitzlist"/>
        <w:numPr>
          <w:ilvl w:val="0"/>
          <w:numId w:val="23"/>
        </w:numPr>
        <w:spacing w:before="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konsultacjach publicznych prowadzonych przez Administratora dotyczących zaprzestania opracowywania Wskaźnika referencyjnego, z uwzględnieniem planowanej daty zaprzestania opracowywania Wskaźnika referencyjnego przez Administratora.</w:t>
      </w:r>
    </w:p>
    <w:p w14:paraId="66ED726E" w14:textId="6BBC0BB8" w:rsidR="003E042B" w:rsidRPr="00546D82" w:rsidRDefault="003E042B" w:rsidP="00863CD2">
      <w:pPr>
        <w:pStyle w:val="Akapitzlist"/>
        <w:numPr>
          <w:ilvl w:val="0"/>
          <w:numId w:val="9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 przypadku zidentyfikowania przez </w:t>
      </w:r>
      <w:r w:rsidR="001A37A7">
        <w:rPr>
          <w:rFonts w:ascii="Times New Roman" w:hAnsi="Times New Roman" w:cs="Times New Roman"/>
          <w:sz w:val="24"/>
          <w:szCs w:val="24"/>
        </w:rPr>
        <w:t>K</w:t>
      </w:r>
      <w:r w:rsidR="002A4AF8" w:rsidRPr="00546D82">
        <w:rPr>
          <w:rFonts w:ascii="Times New Roman" w:hAnsi="Times New Roman" w:cs="Times New Roman"/>
          <w:sz w:val="24"/>
          <w:szCs w:val="24"/>
        </w:rPr>
        <w:t>A</w:t>
      </w:r>
      <w:r w:rsidR="001A37A7">
        <w:rPr>
          <w:rFonts w:ascii="Times New Roman" w:hAnsi="Times New Roman" w:cs="Times New Roman"/>
          <w:sz w:val="24"/>
          <w:szCs w:val="24"/>
        </w:rPr>
        <w:t>R</w:t>
      </w:r>
      <w:r w:rsidR="00C60978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 xml:space="preserve">Wskaźnika referencyjnego mogącego mieć potencjalne zastosowanie w Banku, </w:t>
      </w:r>
      <w:r w:rsidR="001A37A7">
        <w:rPr>
          <w:rFonts w:ascii="Times New Roman" w:hAnsi="Times New Roman" w:cs="Times New Roman"/>
          <w:sz w:val="24"/>
          <w:szCs w:val="24"/>
        </w:rPr>
        <w:t>K</w:t>
      </w:r>
      <w:r w:rsidR="002A4AF8" w:rsidRPr="00546D82">
        <w:rPr>
          <w:rFonts w:ascii="Times New Roman" w:hAnsi="Times New Roman" w:cs="Times New Roman"/>
          <w:sz w:val="24"/>
          <w:szCs w:val="24"/>
        </w:rPr>
        <w:t>A</w:t>
      </w:r>
      <w:r w:rsidR="001A37A7">
        <w:rPr>
          <w:rFonts w:ascii="Times New Roman" w:hAnsi="Times New Roman" w:cs="Times New Roman"/>
          <w:sz w:val="24"/>
          <w:szCs w:val="24"/>
        </w:rPr>
        <w:t>R</w:t>
      </w:r>
      <w:r w:rsidRPr="00546D82">
        <w:rPr>
          <w:rFonts w:ascii="Times New Roman" w:hAnsi="Times New Roman" w:cs="Times New Roman"/>
          <w:sz w:val="24"/>
          <w:szCs w:val="24"/>
        </w:rPr>
        <w:t xml:space="preserve"> sporządza analizę zasadności stosowania Wskaźnika referencyjnego, </w:t>
      </w:r>
      <w:r w:rsidR="00CA67A6" w:rsidRPr="00546D82">
        <w:rPr>
          <w:rFonts w:ascii="Times New Roman" w:hAnsi="Times New Roman" w:cs="Times New Roman"/>
          <w:sz w:val="24"/>
          <w:szCs w:val="24"/>
        </w:rPr>
        <w:t xml:space="preserve">a </w:t>
      </w:r>
      <w:r w:rsidRPr="00546D82">
        <w:rPr>
          <w:rFonts w:ascii="Times New Roman" w:hAnsi="Times New Roman" w:cs="Times New Roman"/>
          <w:sz w:val="24"/>
          <w:szCs w:val="24"/>
        </w:rPr>
        <w:t>w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 xml:space="preserve">przypadku, gdyby Wskaźnik referencyjny miał stanowić Wskaźnik alternatywny dla Wskaźnika referencyjnego stosowanego przez Bank, </w:t>
      </w:r>
      <w:r w:rsidR="001A37A7">
        <w:rPr>
          <w:rFonts w:ascii="Times New Roman" w:hAnsi="Times New Roman" w:cs="Times New Roman"/>
          <w:sz w:val="24"/>
          <w:szCs w:val="24"/>
        </w:rPr>
        <w:t>K</w:t>
      </w:r>
      <w:r w:rsidR="002A4AF8" w:rsidRPr="00546D82">
        <w:rPr>
          <w:rFonts w:ascii="Times New Roman" w:hAnsi="Times New Roman" w:cs="Times New Roman"/>
          <w:sz w:val="24"/>
          <w:szCs w:val="24"/>
        </w:rPr>
        <w:t>A</w:t>
      </w:r>
      <w:r w:rsidR="001A37A7">
        <w:rPr>
          <w:rFonts w:ascii="Times New Roman" w:hAnsi="Times New Roman" w:cs="Times New Roman"/>
          <w:sz w:val="24"/>
          <w:szCs w:val="24"/>
        </w:rPr>
        <w:t>R</w:t>
      </w:r>
      <w:r w:rsidR="00C60978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 xml:space="preserve">sporządza analizę zasadności wyznaczenia Wskaźnika alternatywnego. </w:t>
      </w:r>
    </w:p>
    <w:p w14:paraId="3E4BCD83" w14:textId="67F29676" w:rsidR="003E042B" w:rsidRPr="00546D82" w:rsidRDefault="003E042B" w:rsidP="00863CD2">
      <w:pPr>
        <w:pStyle w:val="Akapitzlist"/>
        <w:numPr>
          <w:ilvl w:val="0"/>
          <w:numId w:val="9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Przy sporządzan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iu analiz, o których mowa w ust. </w:t>
      </w:r>
      <w:r w:rsidR="005E1436" w:rsidRPr="00546D82">
        <w:rPr>
          <w:rFonts w:ascii="Times New Roman" w:hAnsi="Times New Roman" w:cs="Times New Roman"/>
          <w:sz w:val="24"/>
          <w:szCs w:val="24"/>
        </w:rPr>
        <w:t>3</w:t>
      </w:r>
      <w:r w:rsidRPr="00546D82">
        <w:rPr>
          <w:rFonts w:ascii="Times New Roman" w:hAnsi="Times New Roman" w:cs="Times New Roman"/>
          <w:sz w:val="24"/>
          <w:szCs w:val="24"/>
        </w:rPr>
        <w:t xml:space="preserve">, </w:t>
      </w:r>
      <w:r w:rsidR="001A37A7">
        <w:rPr>
          <w:rFonts w:ascii="Times New Roman" w:hAnsi="Times New Roman" w:cs="Times New Roman"/>
          <w:sz w:val="24"/>
          <w:szCs w:val="24"/>
        </w:rPr>
        <w:t>K</w:t>
      </w:r>
      <w:r w:rsidR="00616159" w:rsidRPr="00546D82">
        <w:rPr>
          <w:rFonts w:ascii="Times New Roman" w:hAnsi="Times New Roman" w:cs="Times New Roman"/>
          <w:sz w:val="24"/>
          <w:szCs w:val="24"/>
        </w:rPr>
        <w:t>A</w:t>
      </w:r>
      <w:r w:rsidR="001A37A7">
        <w:rPr>
          <w:rFonts w:ascii="Times New Roman" w:hAnsi="Times New Roman" w:cs="Times New Roman"/>
          <w:sz w:val="24"/>
          <w:szCs w:val="24"/>
        </w:rPr>
        <w:t>R</w:t>
      </w:r>
      <w:r w:rsidR="00C60978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 xml:space="preserve">uwzględnia, że Administrator Wskaźnika referencyjnego </w:t>
      </w:r>
      <w:r w:rsidR="008B7232" w:rsidRPr="00546D82">
        <w:rPr>
          <w:rFonts w:ascii="Times New Roman" w:hAnsi="Times New Roman" w:cs="Times New Roman"/>
          <w:sz w:val="24"/>
          <w:szCs w:val="24"/>
        </w:rPr>
        <w:t xml:space="preserve">powinien 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posiadać </w:t>
      </w:r>
      <w:r w:rsidRPr="00546D82">
        <w:rPr>
          <w:rFonts w:ascii="Times New Roman" w:hAnsi="Times New Roman" w:cs="Times New Roman"/>
          <w:sz w:val="24"/>
          <w:szCs w:val="24"/>
        </w:rPr>
        <w:t xml:space="preserve">odpowiednie zezwolenia właściwego organu nadzoru i jest wskazany przez ESMA w rejestrze administratorów Wskaźników referencyjnych. </w:t>
      </w:r>
      <w:r w:rsidR="005E1436" w:rsidRPr="00546D82">
        <w:rPr>
          <w:rFonts w:ascii="Times New Roman" w:hAnsi="Times New Roman" w:cs="Times New Roman"/>
          <w:sz w:val="24"/>
          <w:szCs w:val="24"/>
        </w:rPr>
        <w:t>Opracowując</w:t>
      </w:r>
      <w:r w:rsidRPr="00546D82">
        <w:rPr>
          <w:rFonts w:ascii="Times New Roman" w:hAnsi="Times New Roman" w:cs="Times New Roman"/>
          <w:sz w:val="24"/>
          <w:szCs w:val="24"/>
        </w:rPr>
        <w:t xml:space="preserve"> analizę zasadności wyznaczenia Wskaźnika alternatywnego, </w:t>
      </w:r>
      <w:r w:rsidR="001A37A7">
        <w:rPr>
          <w:rFonts w:ascii="Times New Roman" w:hAnsi="Times New Roman" w:cs="Times New Roman"/>
          <w:sz w:val="24"/>
          <w:szCs w:val="24"/>
        </w:rPr>
        <w:t>K</w:t>
      </w:r>
      <w:r w:rsidR="00616159" w:rsidRPr="00546D82">
        <w:rPr>
          <w:rFonts w:ascii="Times New Roman" w:hAnsi="Times New Roman" w:cs="Times New Roman"/>
          <w:sz w:val="24"/>
          <w:szCs w:val="24"/>
        </w:rPr>
        <w:t>A</w:t>
      </w:r>
      <w:r w:rsidR="001A37A7">
        <w:rPr>
          <w:rFonts w:ascii="Times New Roman" w:hAnsi="Times New Roman" w:cs="Times New Roman"/>
          <w:sz w:val="24"/>
          <w:szCs w:val="24"/>
        </w:rPr>
        <w:t>R</w:t>
      </w:r>
      <w:r w:rsidR="00C60978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dodatkowo weryfikuje, czy Wskaźnik alternatywny:</w:t>
      </w:r>
    </w:p>
    <w:p w14:paraId="7D17F579" w14:textId="5000AD64" w:rsidR="003E042B" w:rsidRPr="00546D82" w:rsidRDefault="003E042B" w:rsidP="00863CD2">
      <w:pPr>
        <w:pStyle w:val="Akapitzlist"/>
        <w:numPr>
          <w:ilvl w:val="0"/>
          <w:numId w:val="17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odzwierciedla równoważny rynek lub jego realia gospodarcze, co za</w:t>
      </w:r>
      <w:r w:rsidR="00551129" w:rsidRPr="00546D82">
        <w:rPr>
          <w:rFonts w:ascii="Times New Roman" w:hAnsi="Times New Roman" w:cs="Times New Roman"/>
          <w:sz w:val="24"/>
          <w:szCs w:val="24"/>
        </w:rPr>
        <w:t>stępowany Wskaźnik referencyjny;</w:t>
      </w:r>
    </w:p>
    <w:p w14:paraId="1B312FD3" w14:textId="512B4D95" w:rsidR="003E042B" w:rsidRPr="00546D82" w:rsidRDefault="003E042B" w:rsidP="00863CD2">
      <w:pPr>
        <w:pStyle w:val="Akapitzlist"/>
        <w:numPr>
          <w:ilvl w:val="0"/>
          <w:numId w:val="17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jest wskaźnikiem stopy procentowej dla waluty zastępowanego Wskaźnika referencyjnego</w:t>
      </w:r>
      <w:r w:rsidR="00551129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490477B6" w14:textId="77777777" w:rsidR="003E042B" w:rsidRPr="00546D82" w:rsidRDefault="003E042B" w:rsidP="00863CD2">
      <w:pPr>
        <w:pStyle w:val="Akapitzlist"/>
        <w:numPr>
          <w:ilvl w:val="0"/>
          <w:numId w:val="17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jest powszechnie stosowany w Polsce.</w:t>
      </w:r>
    </w:p>
    <w:p w14:paraId="4B715496" w14:textId="51452F45" w:rsidR="003E042B" w:rsidRPr="00546D82" w:rsidRDefault="001A37A7" w:rsidP="00863CD2">
      <w:pPr>
        <w:pStyle w:val="Akapitzlist"/>
        <w:numPr>
          <w:ilvl w:val="0"/>
          <w:numId w:val="9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D5798E" w:rsidRPr="00546D8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</w:t>
      </w:r>
      <w:r w:rsidR="00C60978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3E042B" w:rsidRPr="00546D82">
        <w:rPr>
          <w:rFonts w:ascii="Times New Roman" w:hAnsi="Times New Roman" w:cs="Times New Roman"/>
          <w:sz w:val="24"/>
          <w:szCs w:val="24"/>
        </w:rPr>
        <w:t xml:space="preserve">przekazuje analizę zasadności stosowania Wskaźnika referencyjnego lub analizę zasadności wyznaczenia Wskaźnika alternatywnego do </w:t>
      </w:r>
      <w:r w:rsidR="00C60978" w:rsidRPr="00546D82">
        <w:rPr>
          <w:rFonts w:ascii="Times New Roman" w:hAnsi="Times New Roman" w:cs="Times New Roman"/>
          <w:sz w:val="24"/>
          <w:szCs w:val="24"/>
        </w:rPr>
        <w:t>Zarządu</w:t>
      </w:r>
      <w:r w:rsidR="003E042B" w:rsidRPr="00546D82">
        <w:rPr>
          <w:rFonts w:ascii="Times New Roman" w:hAnsi="Times New Roman" w:cs="Times New Roman"/>
          <w:sz w:val="24"/>
          <w:szCs w:val="24"/>
        </w:rPr>
        <w:t xml:space="preserve">, celem </w:t>
      </w:r>
      <w:r w:rsidR="00863CD2" w:rsidRPr="00546D82">
        <w:rPr>
          <w:rFonts w:ascii="Times New Roman" w:hAnsi="Times New Roman" w:cs="Times New Roman"/>
          <w:sz w:val="24"/>
          <w:szCs w:val="24"/>
        </w:rPr>
        <w:t>podjęcia decyzji</w:t>
      </w:r>
      <w:r w:rsidR="003E042B" w:rsidRPr="00546D82">
        <w:rPr>
          <w:rFonts w:ascii="Times New Roman" w:hAnsi="Times New Roman" w:cs="Times New Roman"/>
          <w:sz w:val="24"/>
          <w:szCs w:val="24"/>
        </w:rPr>
        <w:t>, odpowiednio w przedmiocie</w:t>
      </w:r>
      <w:r w:rsidR="00551129" w:rsidRPr="00546D82">
        <w:rPr>
          <w:rFonts w:ascii="Times New Roman" w:hAnsi="Times New Roman" w:cs="Times New Roman"/>
          <w:sz w:val="24"/>
          <w:szCs w:val="24"/>
        </w:rPr>
        <w:t>:</w:t>
      </w:r>
      <w:r w:rsidR="003E042B" w:rsidRPr="00546D82">
        <w:rPr>
          <w:rFonts w:ascii="Times New Roman" w:hAnsi="Times New Roman" w:cs="Times New Roman"/>
          <w:sz w:val="24"/>
          <w:szCs w:val="24"/>
        </w:rPr>
        <w:t xml:space="preserve"> zasadności stosowania Wskaźnika referencyjnego lub zasadności wyznaczenia Wskaźnika alternatywnego. </w:t>
      </w:r>
    </w:p>
    <w:p w14:paraId="59D2B6D5" w14:textId="02A79C54" w:rsidR="005E1436" w:rsidRPr="00546D82" w:rsidRDefault="003E042B" w:rsidP="00863CD2">
      <w:pPr>
        <w:pStyle w:val="Akapitzlist"/>
        <w:numPr>
          <w:ilvl w:val="0"/>
          <w:numId w:val="9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Pozytywna </w:t>
      </w:r>
      <w:r w:rsidR="00863CD2" w:rsidRPr="00546D82">
        <w:rPr>
          <w:rFonts w:ascii="Times New Roman" w:hAnsi="Times New Roman" w:cs="Times New Roman"/>
          <w:sz w:val="24"/>
          <w:szCs w:val="24"/>
        </w:rPr>
        <w:t>decyzja</w:t>
      </w:r>
      <w:r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C60978" w:rsidRPr="00546D82">
        <w:rPr>
          <w:rFonts w:ascii="Times New Roman" w:hAnsi="Times New Roman" w:cs="Times New Roman"/>
          <w:sz w:val="24"/>
          <w:szCs w:val="24"/>
        </w:rPr>
        <w:t xml:space="preserve">Zarządu </w:t>
      </w:r>
      <w:r w:rsidRPr="00546D82">
        <w:rPr>
          <w:rFonts w:ascii="Times New Roman" w:hAnsi="Times New Roman" w:cs="Times New Roman"/>
          <w:sz w:val="24"/>
          <w:szCs w:val="24"/>
        </w:rPr>
        <w:t>w przedmiocie</w:t>
      </w:r>
      <w:r w:rsidR="005E1436" w:rsidRPr="00546D82">
        <w:rPr>
          <w:rFonts w:ascii="Times New Roman" w:hAnsi="Times New Roman" w:cs="Times New Roman"/>
          <w:sz w:val="24"/>
          <w:szCs w:val="24"/>
        </w:rPr>
        <w:t>:</w:t>
      </w:r>
    </w:p>
    <w:p w14:paraId="55C6E5AB" w14:textId="2AFF00B8" w:rsidR="003E042B" w:rsidRPr="00546D82" w:rsidRDefault="003E042B" w:rsidP="00863CD2">
      <w:pPr>
        <w:pStyle w:val="Akapitzlist"/>
        <w:numPr>
          <w:ilvl w:val="1"/>
          <w:numId w:val="9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zasadności stosowania Wskaźnika referencyjnego jest warunkiem zastosowania Wskaźnika referencyjnego w produktach bankowych przygotowanych przez </w:t>
      </w:r>
      <w:r w:rsidR="001A37A7">
        <w:rPr>
          <w:rFonts w:ascii="Times New Roman" w:hAnsi="Times New Roman" w:cs="Times New Roman"/>
          <w:sz w:val="24"/>
          <w:szCs w:val="24"/>
        </w:rPr>
        <w:t>j</w:t>
      </w:r>
      <w:r w:rsidRPr="00546D82">
        <w:rPr>
          <w:rFonts w:ascii="Times New Roman" w:hAnsi="Times New Roman" w:cs="Times New Roman"/>
          <w:sz w:val="24"/>
          <w:szCs w:val="24"/>
        </w:rPr>
        <w:t xml:space="preserve">ednostki </w:t>
      </w:r>
      <w:r w:rsidR="001A37A7">
        <w:rPr>
          <w:rFonts w:ascii="Times New Roman" w:hAnsi="Times New Roman" w:cs="Times New Roman"/>
          <w:sz w:val="24"/>
          <w:szCs w:val="24"/>
        </w:rPr>
        <w:t>sprzedażowe</w:t>
      </w:r>
      <w:r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5E1436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i wprowadzanych w Banku na zasadach określonych w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odpow</w:t>
      </w:r>
      <w:r w:rsidR="005E1436" w:rsidRPr="00546D82">
        <w:rPr>
          <w:rFonts w:ascii="Times New Roman" w:hAnsi="Times New Roman" w:cs="Times New Roman"/>
          <w:sz w:val="24"/>
          <w:szCs w:val="24"/>
        </w:rPr>
        <w:t>iednich przepisach wewnętrznych;</w:t>
      </w:r>
    </w:p>
    <w:p w14:paraId="4A65AF88" w14:textId="2B0DDB76" w:rsidR="003E042B" w:rsidRPr="00546D82" w:rsidRDefault="003E042B" w:rsidP="00863CD2">
      <w:pPr>
        <w:pStyle w:val="Akapitzlist"/>
        <w:numPr>
          <w:ilvl w:val="1"/>
          <w:numId w:val="9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zasadności wyznaczenia Wskaźnika alternatywnego stanowi podstawę aktualizacji Planu, </w:t>
      </w:r>
      <w:r w:rsidR="005E1436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 xml:space="preserve">w szczególności, w zakresie wzorów klauzul awaryjnych stosowanych w umowach </w:t>
      </w:r>
      <w:r w:rsidR="005E1436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z klientami Banku.</w:t>
      </w:r>
    </w:p>
    <w:p w14:paraId="5F25F239" w14:textId="11BA55F4" w:rsidR="003E042B" w:rsidRPr="00546D82" w:rsidRDefault="003E042B" w:rsidP="00551129">
      <w:pPr>
        <w:pStyle w:val="Nagwek1"/>
        <w:spacing w:before="480" w:after="12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Toc94023538"/>
      <w:r w:rsidRPr="00546D82">
        <w:rPr>
          <w:rFonts w:ascii="Times New Roman" w:hAnsi="Times New Roman" w:cs="Times New Roman"/>
          <w:sz w:val="24"/>
          <w:szCs w:val="24"/>
        </w:rPr>
        <w:t xml:space="preserve">Rozdział </w:t>
      </w:r>
      <w:r w:rsidR="003E4B19" w:rsidRPr="00546D82">
        <w:rPr>
          <w:rFonts w:ascii="Times New Roman" w:hAnsi="Times New Roman" w:cs="Times New Roman"/>
          <w:sz w:val="24"/>
          <w:szCs w:val="24"/>
        </w:rPr>
        <w:t>3</w:t>
      </w:r>
      <w:r w:rsidR="00551129" w:rsidRPr="00546D82">
        <w:rPr>
          <w:rFonts w:ascii="Times New Roman" w:hAnsi="Times New Roman" w:cs="Times New Roman"/>
          <w:sz w:val="24"/>
          <w:szCs w:val="24"/>
        </w:rPr>
        <w:t>.</w:t>
      </w:r>
      <w:r w:rsidR="00E91DCD" w:rsidRPr="00546D82">
        <w:rPr>
          <w:rFonts w:ascii="Times New Roman" w:hAnsi="Times New Roman" w:cs="Times New Roman"/>
          <w:sz w:val="24"/>
          <w:szCs w:val="24"/>
        </w:rPr>
        <w:tab/>
      </w:r>
      <w:r w:rsidR="00C87365" w:rsidRPr="00546D82">
        <w:rPr>
          <w:rFonts w:ascii="Times New Roman" w:hAnsi="Times New Roman" w:cs="Times New Roman"/>
          <w:sz w:val="24"/>
          <w:szCs w:val="24"/>
        </w:rPr>
        <w:t>Zasady postępowania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C87365" w:rsidRPr="00546D82">
        <w:rPr>
          <w:rFonts w:ascii="Times New Roman" w:hAnsi="Times New Roman" w:cs="Times New Roman"/>
          <w:sz w:val="24"/>
          <w:szCs w:val="24"/>
        </w:rPr>
        <w:t xml:space="preserve">Banku 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w </w:t>
      </w:r>
      <w:r w:rsidR="003E4B19" w:rsidRPr="00546D82">
        <w:rPr>
          <w:rFonts w:ascii="Times New Roman" w:hAnsi="Times New Roman" w:cs="Times New Roman"/>
          <w:sz w:val="24"/>
          <w:szCs w:val="24"/>
        </w:rPr>
        <w:t>przypadku zaprzestania opracowywania stosowanego przez Bank Wskaźnika referencyjnego na skutek wystąpienia Zdarzenia regulacyjnego</w:t>
      </w:r>
      <w:bookmarkEnd w:id="2"/>
    </w:p>
    <w:p w14:paraId="788D6735" w14:textId="3D3BAF7E" w:rsidR="002300D8" w:rsidRPr="00546D82" w:rsidRDefault="002300D8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§ 5</w:t>
      </w:r>
      <w:r w:rsidR="00551129" w:rsidRPr="00546D82">
        <w:rPr>
          <w:rFonts w:ascii="Times New Roman" w:hAnsi="Times New Roman" w:cs="Times New Roman"/>
          <w:b/>
          <w:sz w:val="24"/>
          <w:szCs w:val="24"/>
        </w:rPr>
        <w:t>.</w:t>
      </w:r>
    </w:p>
    <w:p w14:paraId="63BD5C01" w14:textId="67F540ED" w:rsidR="002300D8" w:rsidRPr="00546D82" w:rsidRDefault="002300D8" w:rsidP="00863CD2">
      <w:pPr>
        <w:pStyle w:val="Akapitzlist"/>
        <w:numPr>
          <w:ilvl w:val="0"/>
          <w:numId w:val="10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 przypadku zaprzestania opracowywania Wskaźnika referencyjnego wskutek zaistnienia Zdarzenia regulacyjnego:</w:t>
      </w:r>
    </w:p>
    <w:p w14:paraId="727F8706" w14:textId="24825AFA" w:rsidR="002300D8" w:rsidRPr="00546D82" w:rsidRDefault="002300D8" w:rsidP="00863CD2">
      <w:pPr>
        <w:pStyle w:val="Akapitzlist"/>
        <w:numPr>
          <w:ilvl w:val="0"/>
          <w:numId w:val="18"/>
        </w:numPr>
        <w:tabs>
          <w:tab w:val="left" w:pos="-720"/>
          <w:tab w:val="left" w:pos="0"/>
          <w:tab w:val="left" w:pos="1134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Bank stosuje Wskaźnik alternatywny określony w umowie</w:t>
      </w:r>
      <w:r w:rsidR="00207ED8" w:rsidRPr="00546D82">
        <w:rPr>
          <w:rFonts w:ascii="Times New Roman" w:hAnsi="Times New Roman" w:cs="Times New Roman"/>
          <w:sz w:val="24"/>
          <w:szCs w:val="24"/>
        </w:rPr>
        <w:t xml:space="preserve"> z klientem</w:t>
      </w:r>
      <w:r w:rsidRPr="00546D82">
        <w:rPr>
          <w:rFonts w:ascii="Times New Roman" w:hAnsi="Times New Roman" w:cs="Times New Roman"/>
          <w:sz w:val="24"/>
          <w:szCs w:val="24"/>
        </w:rPr>
        <w:t xml:space="preserve">, a w przypadku jego braku, Wskaźnik </w:t>
      </w:r>
      <w:r w:rsidR="00B15F60" w:rsidRPr="00546D82">
        <w:rPr>
          <w:rFonts w:ascii="Times New Roman" w:hAnsi="Times New Roman" w:cs="Times New Roman"/>
          <w:sz w:val="24"/>
          <w:szCs w:val="24"/>
        </w:rPr>
        <w:t>alternatywny</w:t>
      </w:r>
      <w:r w:rsidRPr="00546D82">
        <w:rPr>
          <w:rFonts w:ascii="Times New Roman" w:hAnsi="Times New Roman" w:cs="Times New Roman"/>
          <w:sz w:val="24"/>
          <w:szCs w:val="24"/>
        </w:rPr>
        <w:t xml:space="preserve"> wskazany w przepisach prawa powszechnie obowiązującego </w:t>
      </w:r>
      <w:r w:rsidRPr="00546D82">
        <w:rPr>
          <w:rFonts w:ascii="Times New Roman" w:hAnsi="Times New Roman" w:cs="Times New Roman"/>
          <w:sz w:val="24"/>
          <w:szCs w:val="24"/>
        </w:rPr>
        <w:lastRenderedPageBreak/>
        <w:t>albo wskazany przez Podmiot wyznaczający, wraz z Korektą ustaloną umową</w:t>
      </w:r>
      <w:r w:rsidR="00CE74A9" w:rsidRPr="00546D82">
        <w:rPr>
          <w:rFonts w:ascii="Times New Roman" w:hAnsi="Times New Roman" w:cs="Times New Roman"/>
          <w:sz w:val="24"/>
          <w:szCs w:val="24"/>
        </w:rPr>
        <w:t xml:space="preserve"> z klientem</w:t>
      </w:r>
      <w:r w:rsidRPr="00546D82">
        <w:rPr>
          <w:rFonts w:ascii="Times New Roman" w:hAnsi="Times New Roman" w:cs="Times New Roman"/>
          <w:sz w:val="24"/>
          <w:szCs w:val="24"/>
        </w:rPr>
        <w:t>, przepisami prawa albo po</w:t>
      </w:r>
      <w:r w:rsidR="00551129" w:rsidRPr="00546D82">
        <w:rPr>
          <w:rFonts w:ascii="Times New Roman" w:hAnsi="Times New Roman" w:cs="Times New Roman"/>
          <w:sz w:val="24"/>
          <w:szCs w:val="24"/>
        </w:rPr>
        <w:t>daną przez Podmiot wyznaczający;</w:t>
      </w:r>
    </w:p>
    <w:p w14:paraId="216BEA44" w14:textId="7CAB6048" w:rsidR="002300D8" w:rsidRPr="00546D82" w:rsidRDefault="002300D8" w:rsidP="00863CD2">
      <w:pPr>
        <w:pStyle w:val="Akapitzlist"/>
        <w:numPr>
          <w:ilvl w:val="0"/>
          <w:numId w:val="18"/>
        </w:numPr>
        <w:tabs>
          <w:tab w:val="left" w:pos="-720"/>
          <w:tab w:val="left" w:pos="0"/>
          <w:tab w:val="left" w:pos="1134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 przypadku, gdy Wskaźnik alternatywny nie zostanie wyznaczony zgodni</w:t>
      </w:r>
      <w:r w:rsidR="00551129" w:rsidRPr="00546D82">
        <w:rPr>
          <w:rFonts w:ascii="Times New Roman" w:hAnsi="Times New Roman" w:cs="Times New Roman"/>
          <w:sz w:val="24"/>
          <w:szCs w:val="24"/>
        </w:rPr>
        <w:t>e z pkt 1</w:t>
      </w:r>
      <w:r w:rsidRPr="00546D82">
        <w:rPr>
          <w:rFonts w:ascii="Times New Roman" w:hAnsi="Times New Roman" w:cs="Times New Roman"/>
          <w:sz w:val="24"/>
          <w:szCs w:val="24"/>
        </w:rPr>
        <w:t>, Bank stosuje Wskaźnik alternatywny, wraz z Korektą podaną przez Administratora Wskaźnika alternatywnego, spełniający następujące warunki:</w:t>
      </w:r>
    </w:p>
    <w:p w14:paraId="4406FA8F" w14:textId="20EBF008" w:rsidR="002300D8" w:rsidRPr="00546D82" w:rsidRDefault="002300D8" w:rsidP="00863CD2">
      <w:pPr>
        <w:pStyle w:val="Akapitzlist"/>
        <w:numPr>
          <w:ilvl w:val="0"/>
          <w:numId w:val="19"/>
        </w:numPr>
        <w:tabs>
          <w:tab w:val="left" w:pos="-720"/>
          <w:tab w:val="left" w:pos="0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Administrator Wskaźnika alternatywnego posiada odpowiednie zezwolenia właściwego organu nadzoru, a także jest wskazany przez ESMA w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rejestrze administratorów wskaźników referencyjnych,</w:t>
      </w:r>
    </w:p>
    <w:p w14:paraId="5AC72134" w14:textId="2CC3B1A4" w:rsidR="002300D8" w:rsidRPr="00546D82" w:rsidRDefault="002300D8" w:rsidP="00863CD2">
      <w:pPr>
        <w:pStyle w:val="Akapitzlist"/>
        <w:numPr>
          <w:ilvl w:val="0"/>
          <w:numId w:val="19"/>
        </w:numPr>
        <w:tabs>
          <w:tab w:val="left" w:pos="-720"/>
          <w:tab w:val="left" w:pos="0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Wskaźnik alternatywny jest wskaźnikiem stopy procentowej dla waluty zastępowanego Wskaźnika referencyjnego,</w:t>
      </w:r>
    </w:p>
    <w:p w14:paraId="2451BF41" w14:textId="76903E37" w:rsidR="002300D8" w:rsidRPr="00546D82" w:rsidRDefault="002300D8" w:rsidP="00863CD2">
      <w:pPr>
        <w:pStyle w:val="Akapitzlist"/>
        <w:numPr>
          <w:ilvl w:val="0"/>
          <w:numId w:val="19"/>
        </w:numPr>
        <w:tabs>
          <w:tab w:val="left" w:pos="-720"/>
          <w:tab w:val="left" w:pos="0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Wskaźnik alternatywny odzwierciedla równoważny rynek lub jego realia gospodarcze, co zastępowany Wskaźnik referencyjny,</w:t>
      </w:r>
    </w:p>
    <w:p w14:paraId="6F22E1A6" w14:textId="53C5C3EE" w:rsidR="002300D8" w:rsidRPr="00546D82" w:rsidRDefault="002300D8" w:rsidP="00863CD2">
      <w:pPr>
        <w:pStyle w:val="Akapitzlist"/>
        <w:numPr>
          <w:ilvl w:val="0"/>
          <w:numId w:val="19"/>
        </w:numPr>
        <w:tabs>
          <w:tab w:val="left" w:pos="-720"/>
          <w:tab w:val="left" w:pos="0"/>
          <w:tab w:val="left" w:pos="851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Wskaźnik alternatywny cechuje powszechność stosowania w Polsce.</w:t>
      </w:r>
    </w:p>
    <w:p w14:paraId="2837909F" w14:textId="24F4C81C" w:rsidR="002300D8" w:rsidRPr="00546D82" w:rsidRDefault="002300D8" w:rsidP="00863CD2">
      <w:pPr>
        <w:pStyle w:val="Akapitzlist"/>
        <w:numPr>
          <w:ilvl w:val="0"/>
          <w:numId w:val="10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 przypadku, gdy </w:t>
      </w:r>
      <w:r w:rsidR="00551129" w:rsidRPr="00546D82">
        <w:rPr>
          <w:rFonts w:ascii="Times New Roman" w:hAnsi="Times New Roman" w:cs="Times New Roman"/>
          <w:sz w:val="24"/>
          <w:szCs w:val="24"/>
        </w:rPr>
        <w:t>u</w:t>
      </w:r>
      <w:r w:rsidRPr="00546D82">
        <w:rPr>
          <w:rFonts w:ascii="Times New Roman" w:hAnsi="Times New Roman" w:cs="Times New Roman"/>
          <w:sz w:val="24"/>
          <w:szCs w:val="24"/>
        </w:rPr>
        <w:t xml:space="preserve">mowa, przepisy prawa, Podmiot wyznaczający lub Administrator Wskaźnika </w:t>
      </w:r>
      <w:r w:rsidR="00551129" w:rsidRPr="00546D82">
        <w:rPr>
          <w:rFonts w:ascii="Times New Roman" w:hAnsi="Times New Roman" w:cs="Times New Roman"/>
          <w:sz w:val="24"/>
          <w:szCs w:val="24"/>
        </w:rPr>
        <w:t>a</w:t>
      </w:r>
      <w:r w:rsidRPr="00546D82">
        <w:rPr>
          <w:rFonts w:ascii="Times New Roman" w:hAnsi="Times New Roman" w:cs="Times New Roman"/>
          <w:sz w:val="24"/>
          <w:szCs w:val="24"/>
        </w:rPr>
        <w:t>lternatywnego nie poda Korekty Wskaźnika alternatywnego, Bank skoryguje Wskaźnik alternatywny Korektą wyliczoną jako średnia arytmetyczna z różnic pomiędzy wartościami dotychcza</w:t>
      </w:r>
      <w:r w:rsidR="00551129" w:rsidRPr="00546D82">
        <w:rPr>
          <w:rFonts w:ascii="Times New Roman" w:hAnsi="Times New Roman" w:cs="Times New Roman"/>
          <w:sz w:val="24"/>
          <w:szCs w:val="24"/>
        </w:rPr>
        <w:t>sowego Wskaźnika referencyjnego</w:t>
      </w:r>
      <w:r w:rsidRPr="00546D82">
        <w:rPr>
          <w:rFonts w:ascii="Times New Roman" w:hAnsi="Times New Roman" w:cs="Times New Roman"/>
          <w:sz w:val="24"/>
          <w:szCs w:val="24"/>
        </w:rPr>
        <w:t xml:space="preserve"> a wartością Wskaźnika alternatywnego z tych samych dni publikacji, za okres 182 dni przed datą zaprzestania opracowywania Wskaźnika referencyjnego.</w:t>
      </w:r>
    </w:p>
    <w:p w14:paraId="76B3EC37" w14:textId="66508890" w:rsidR="002300D8" w:rsidRPr="00546D82" w:rsidRDefault="002300D8" w:rsidP="00863CD2">
      <w:pPr>
        <w:pStyle w:val="Akapitzlist"/>
        <w:numPr>
          <w:ilvl w:val="0"/>
          <w:numId w:val="10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 sytuacji braku możliwości wyznaczenia Wskaźnika alternatywnego na podstawie postanowień </w:t>
      </w:r>
      <w:r w:rsidR="004C747E" w:rsidRPr="00546D82">
        <w:rPr>
          <w:rFonts w:ascii="Times New Roman" w:hAnsi="Times New Roman" w:cs="Times New Roman"/>
          <w:sz w:val="24"/>
          <w:szCs w:val="24"/>
        </w:rPr>
        <w:t>ust. 1</w:t>
      </w:r>
      <w:r w:rsidRPr="00546D82">
        <w:rPr>
          <w:rFonts w:ascii="Times New Roman" w:hAnsi="Times New Roman" w:cs="Times New Roman"/>
          <w:sz w:val="24"/>
          <w:szCs w:val="24"/>
        </w:rPr>
        <w:t>, Bank stosuje do ustalania oprocentowania, jako Wskaźnik alternatywny, podstawową stopę procentową banku centralnego właściwego dla waluty kredytu wraz z Korektą wyliczoną jako średnia arytmetyczna z różnic pomiędzy warto</w:t>
      </w:r>
      <w:r w:rsidR="00551129" w:rsidRPr="00546D82">
        <w:rPr>
          <w:rFonts w:ascii="Times New Roman" w:hAnsi="Times New Roman" w:cs="Times New Roman"/>
          <w:sz w:val="24"/>
          <w:szCs w:val="24"/>
        </w:rPr>
        <w:t>ściami Wskaźnika referencyjnego</w:t>
      </w:r>
      <w:r w:rsidRPr="00546D82">
        <w:rPr>
          <w:rFonts w:ascii="Times New Roman" w:hAnsi="Times New Roman" w:cs="Times New Roman"/>
          <w:sz w:val="24"/>
          <w:szCs w:val="24"/>
        </w:rPr>
        <w:t xml:space="preserve"> a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 xml:space="preserve">wartością stopy procentowej banku centralnego z tych samych dni publikacji, za okres </w:t>
      </w:r>
      <w:r w:rsidR="004C747E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12 miesięcy przed datą zaprzestania opracowywania Wskaźnika referencyjnego.</w:t>
      </w:r>
    </w:p>
    <w:p w14:paraId="6F79EC9E" w14:textId="2B6E2FAE" w:rsidR="002300D8" w:rsidRPr="00546D82" w:rsidRDefault="002300D8" w:rsidP="00863CD2">
      <w:pPr>
        <w:pStyle w:val="Akapitzlist"/>
        <w:numPr>
          <w:ilvl w:val="0"/>
          <w:numId w:val="10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 przypadku, gdy na podstawie postanowień </w:t>
      </w:r>
      <w:r w:rsidR="004C747E" w:rsidRPr="00546D82">
        <w:rPr>
          <w:rFonts w:ascii="Times New Roman" w:hAnsi="Times New Roman" w:cs="Times New Roman"/>
          <w:sz w:val="24"/>
          <w:szCs w:val="24"/>
        </w:rPr>
        <w:t>ust. 2 – 3</w:t>
      </w:r>
      <w:r w:rsidRPr="00546D82">
        <w:rPr>
          <w:rFonts w:ascii="Times New Roman" w:hAnsi="Times New Roman" w:cs="Times New Roman"/>
          <w:sz w:val="24"/>
          <w:szCs w:val="24"/>
        </w:rPr>
        <w:t xml:space="preserve"> Bank wylicza Korektę, a dane niezbędn</w:t>
      </w:r>
      <w:r w:rsidR="00551129" w:rsidRPr="00546D82">
        <w:rPr>
          <w:rFonts w:ascii="Times New Roman" w:hAnsi="Times New Roman" w:cs="Times New Roman"/>
          <w:sz w:val="24"/>
          <w:szCs w:val="24"/>
        </w:rPr>
        <w:t xml:space="preserve">e do wyliczenia Korekty nie są </w:t>
      </w:r>
      <w:r w:rsidRPr="00546D82">
        <w:rPr>
          <w:rFonts w:ascii="Times New Roman" w:hAnsi="Times New Roman" w:cs="Times New Roman"/>
          <w:sz w:val="24"/>
          <w:szCs w:val="24"/>
        </w:rPr>
        <w:t>dostępne za cały okres, za który ma zostać wyliczona Korekta, Bank wylicza Korektę uwzględniając cały okres dostępności danych.</w:t>
      </w:r>
    </w:p>
    <w:p w14:paraId="45B7149A" w14:textId="77777777" w:rsidR="00E91DCD" w:rsidRPr="00546D82" w:rsidRDefault="002300D8" w:rsidP="00863CD2">
      <w:pPr>
        <w:pStyle w:val="Akapitzlist"/>
        <w:numPr>
          <w:ilvl w:val="0"/>
          <w:numId w:val="10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Wskaźnik alternatywny określony w związku z wystąpieniem Zdarzenia regulacyjnego zostanie zastosowany przez Bank nie później niż 30 dnia roboczego liczonego od dnia zaprzestania opracowania dotychczasowego Wskaźnika referencyjnego, a do tego czasu Bank będzie stosował ostatnio opublikowaną wartość dotychczasowego Wskaźnika referencyjnego. </w:t>
      </w:r>
    </w:p>
    <w:p w14:paraId="3377664E" w14:textId="480F8B01" w:rsidR="002300D8" w:rsidRPr="00546D82" w:rsidRDefault="002300D8" w:rsidP="00863CD2">
      <w:pPr>
        <w:pStyle w:val="Akapitzlist"/>
        <w:numPr>
          <w:ilvl w:val="0"/>
          <w:numId w:val="10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 przypadku wznowienia publikacji dotychczasowego Wskaźnika referencyjnego przed dniem zastosowania przez Bank Wskaźnika alternatywnego, Bank będzie u</w:t>
      </w:r>
      <w:r w:rsidR="00E91DCD" w:rsidRPr="00546D82">
        <w:rPr>
          <w:rFonts w:ascii="Times New Roman" w:hAnsi="Times New Roman" w:cs="Times New Roman"/>
          <w:sz w:val="24"/>
          <w:szCs w:val="24"/>
        </w:rPr>
        <w:t xml:space="preserve">stalał oprocentowanie zgodnie z </w:t>
      </w:r>
      <w:r w:rsidRPr="00546D82">
        <w:rPr>
          <w:rFonts w:ascii="Times New Roman" w:hAnsi="Times New Roman" w:cs="Times New Roman"/>
          <w:sz w:val="24"/>
          <w:szCs w:val="24"/>
        </w:rPr>
        <w:t>dotychczasowym Wskaźnikiem referencyjnym.</w:t>
      </w:r>
    </w:p>
    <w:p w14:paraId="069C9063" w14:textId="20CE91FC" w:rsidR="002300D8" w:rsidRPr="00546D82" w:rsidRDefault="002300D8" w:rsidP="00863CD2">
      <w:pPr>
        <w:pStyle w:val="Akapitzlist"/>
        <w:numPr>
          <w:ilvl w:val="0"/>
          <w:numId w:val="10"/>
        </w:numPr>
        <w:tabs>
          <w:tab w:val="left" w:pos="-720"/>
          <w:tab w:val="left" w:pos="426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Jednostki biznesowe przekazują klientom informację o zastosowaniu Wskaźnika alternatywnego wraz z wyjaśnieniem adekwatności zastosowania Wskaźnika alternatywnego, a także informację o</w:t>
      </w:r>
      <w:r w:rsidR="00E91DCD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zastosowaniu Korekty wraz z opisem sposobu obliczenia Korekty.</w:t>
      </w:r>
    </w:p>
    <w:p w14:paraId="3E4097AF" w14:textId="5D81435E" w:rsidR="00D8707E" w:rsidRPr="00546D82" w:rsidRDefault="00D8707E" w:rsidP="00E91DCD">
      <w:pPr>
        <w:pStyle w:val="Nagwek1"/>
        <w:spacing w:before="480" w:after="12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Toc94023539"/>
      <w:r w:rsidRPr="00546D82">
        <w:rPr>
          <w:rFonts w:ascii="Times New Roman" w:hAnsi="Times New Roman" w:cs="Times New Roman"/>
          <w:sz w:val="24"/>
          <w:szCs w:val="24"/>
        </w:rPr>
        <w:t>Rozdział 4.</w:t>
      </w:r>
      <w:r w:rsidRPr="00546D82">
        <w:rPr>
          <w:rFonts w:ascii="Times New Roman" w:hAnsi="Times New Roman" w:cs="Times New Roman"/>
          <w:sz w:val="24"/>
          <w:szCs w:val="24"/>
        </w:rPr>
        <w:tab/>
      </w:r>
      <w:r w:rsidR="00C87365" w:rsidRPr="00546D82">
        <w:rPr>
          <w:rFonts w:ascii="Times New Roman" w:hAnsi="Times New Roman" w:cs="Times New Roman"/>
          <w:sz w:val="24"/>
          <w:szCs w:val="24"/>
        </w:rPr>
        <w:t>Zasady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 postępowania Banku w przypadku wystąpienia Istotn</w:t>
      </w:r>
      <w:r w:rsidR="00B35D65" w:rsidRPr="00546D82">
        <w:rPr>
          <w:rFonts w:ascii="Times New Roman" w:hAnsi="Times New Roman" w:cs="Times New Roman"/>
          <w:sz w:val="24"/>
          <w:szCs w:val="24"/>
        </w:rPr>
        <w:t>ej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 zmian</w:t>
      </w:r>
      <w:r w:rsidR="00B35D65" w:rsidRPr="00546D82">
        <w:rPr>
          <w:rFonts w:ascii="Times New Roman" w:hAnsi="Times New Roman" w:cs="Times New Roman"/>
          <w:sz w:val="24"/>
          <w:szCs w:val="24"/>
        </w:rPr>
        <w:t>y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 Wskaźnika referencyjnego</w:t>
      </w:r>
      <w:r w:rsidR="00B35D65" w:rsidRPr="00546D82">
        <w:rPr>
          <w:rFonts w:ascii="Times New Roman" w:hAnsi="Times New Roman" w:cs="Times New Roman"/>
          <w:sz w:val="24"/>
          <w:szCs w:val="24"/>
        </w:rPr>
        <w:t xml:space="preserve"> stosowanego przez Bank</w:t>
      </w:r>
      <w:bookmarkEnd w:id="3"/>
    </w:p>
    <w:p w14:paraId="3172C278" w14:textId="03DFE6BB" w:rsidR="0033774F" w:rsidRPr="00546D82" w:rsidRDefault="0033774F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§ 6</w:t>
      </w:r>
      <w:r w:rsidR="00E91DCD" w:rsidRPr="00546D82">
        <w:rPr>
          <w:rFonts w:ascii="Times New Roman" w:hAnsi="Times New Roman" w:cs="Times New Roman"/>
          <w:b/>
          <w:sz w:val="24"/>
          <w:szCs w:val="24"/>
        </w:rPr>
        <w:t>.</w:t>
      </w:r>
    </w:p>
    <w:p w14:paraId="1A9B4A57" w14:textId="558584B2" w:rsidR="0033774F" w:rsidRPr="00546D82" w:rsidRDefault="0033774F" w:rsidP="00863CD2">
      <w:pPr>
        <w:pStyle w:val="Akapitzlist"/>
        <w:numPr>
          <w:ilvl w:val="0"/>
          <w:numId w:val="11"/>
        </w:numPr>
        <w:tabs>
          <w:tab w:val="left" w:pos="-720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 przypadku ogłoszenia przez Administratora Istotnej zmiany Wskaźnika referencyjnego, który jest stosowany w umowie z klientem, Bank stosuje od dnia obowiązywania Istotnej zmiany Wskaźnik referencyjny po Istotnej zmianie</w:t>
      </w:r>
      <w:r w:rsidR="00D44B07" w:rsidRPr="00546D82">
        <w:rPr>
          <w:rFonts w:ascii="Times New Roman" w:hAnsi="Times New Roman" w:cs="Times New Roman"/>
          <w:sz w:val="24"/>
          <w:szCs w:val="24"/>
        </w:rPr>
        <w:t>,</w:t>
      </w:r>
      <w:r w:rsidRPr="00546D82">
        <w:rPr>
          <w:rFonts w:ascii="Times New Roman" w:hAnsi="Times New Roman" w:cs="Times New Roman"/>
          <w:sz w:val="24"/>
          <w:szCs w:val="24"/>
        </w:rPr>
        <w:t xml:space="preserve"> skorygowany o:</w:t>
      </w:r>
    </w:p>
    <w:p w14:paraId="527FAFCA" w14:textId="77777777" w:rsidR="0033774F" w:rsidRPr="00546D82" w:rsidRDefault="0033774F" w:rsidP="00863CD2">
      <w:pPr>
        <w:pStyle w:val="Akapitzlist"/>
        <w:numPr>
          <w:ilvl w:val="0"/>
          <w:numId w:val="20"/>
        </w:numPr>
        <w:tabs>
          <w:tab w:val="left" w:pos="-720"/>
          <w:tab w:val="left" w:pos="0"/>
          <w:tab w:val="left" w:pos="426"/>
          <w:tab w:val="left" w:pos="1134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Korektę podaną przez Administratora, a jeżeli Administrator nie podał Korekty</w:t>
      </w:r>
    </w:p>
    <w:p w14:paraId="0787BD77" w14:textId="77777777" w:rsidR="0033774F" w:rsidRPr="00546D82" w:rsidRDefault="0033774F" w:rsidP="00863CD2">
      <w:pPr>
        <w:pStyle w:val="Akapitzlist"/>
        <w:numPr>
          <w:ilvl w:val="0"/>
          <w:numId w:val="20"/>
        </w:numPr>
        <w:tabs>
          <w:tab w:val="left" w:pos="-720"/>
          <w:tab w:val="left" w:pos="0"/>
          <w:tab w:val="left" w:pos="426"/>
          <w:tab w:val="left" w:pos="1134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Korektę wyliczoną jako średnia arytmetyczna z różnic pomiędzy wartościami Wskaźnika referencyjnego przed Istotną zmianą a wartościami Wskaźnika referencyjnego po Istotnej </w:t>
      </w:r>
      <w:r w:rsidRPr="00546D82">
        <w:rPr>
          <w:rFonts w:ascii="Times New Roman" w:hAnsi="Times New Roman" w:cs="Times New Roman"/>
          <w:sz w:val="24"/>
          <w:szCs w:val="24"/>
        </w:rPr>
        <w:lastRenderedPageBreak/>
        <w:t>zmianie z tych samych dni publikacji, za okres 12 miesięcy przed datą ogłoszenia Istotnej zmiany Wskaźnika referencyjnego.</w:t>
      </w:r>
    </w:p>
    <w:p w14:paraId="499C4D54" w14:textId="7D1DC2F3" w:rsidR="006529E1" w:rsidRPr="00546D82" w:rsidRDefault="0033774F" w:rsidP="00863CD2">
      <w:pPr>
        <w:pStyle w:val="Akapitzlist"/>
        <w:numPr>
          <w:ilvl w:val="0"/>
          <w:numId w:val="11"/>
        </w:numPr>
        <w:tabs>
          <w:tab w:val="left" w:pos="-720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 przypadku zaistnienia Istotnej zmiany</w:t>
      </w:r>
      <w:r w:rsidR="00B15F60" w:rsidRPr="00546D82">
        <w:rPr>
          <w:rFonts w:ascii="Times New Roman" w:hAnsi="Times New Roman" w:cs="Times New Roman"/>
          <w:sz w:val="24"/>
          <w:szCs w:val="24"/>
        </w:rPr>
        <w:t>,</w:t>
      </w:r>
      <w:r w:rsidR="00CF091E" w:rsidRPr="00546D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9E1">
        <w:rPr>
          <w:rFonts w:ascii="Times New Roman" w:hAnsi="Times New Roman" w:cs="Times New Roman"/>
          <w:sz w:val="24"/>
          <w:szCs w:val="24"/>
        </w:rPr>
        <w:t>SKiM</w:t>
      </w:r>
      <w:proofErr w:type="spellEnd"/>
      <w:r w:rsidR="009979E1">
        <w:rPr>
          <w:rFonts w:ascii="Times New Roman" w:hAnsi="Times New Roman" w:cs="Times New Roman"/>
          <w:sz w:val="24"/>
          <w:szCs w:val="24"/>
        </w:rPr>
        <w:t xml:space="preserve"> oraz </w:t>
      </w:r>
      <w:r w:rsidR="00364AC8">
        <w:rPr>
          <w:rFonts w:ascii="Times New Roman" w:hAnsi="Times New Roman" w:cs="Times New Roman"/>
          <w:sz w:val="24"/>
          <w:szCs w:val="24"/>
        </w:rPr>
        <w:t>pracownicy jednostek sprzedażowych</w:t>
      </w:r>
      <w:r w:rsidRPr="00546D82">
        <w:rPr>
          <w:rFonts w:ascii="Times New Roman" w:hAnsi="Times New Roman" w:cs="Times New Roman"/>
          <w:sz w:val="24"/>
          <w:szCs w:val="24"/>
        </w:rPr>
        <w:t xml:space="preserve"> pr</w:t>
      </w:r>
      <w:r w:rsidR="00E91DCD" w:rsidRPr="00546D82">
        <w:rPr>
          <w:rFonts w:ascii="Times New Roman" w:hAnsi="Times New Roman" w:cs="Times New Roman"/>
          <w:sz w:val="24"/>
          <w:szCs w:val="24"/>
        </w:rPr>
        <w:t>zekazuj</w:t>
      </w:r>
      <w:r w:rsidR="00EC2335">
        <w:rPr>
          <w:rFonts w:ascii="Times New Roman" w:hAnsi="Times New Roman" w:cs="Times New Roman"/>
          <w:sz w:val="24"/>
          <w:szCs w:val="24"/>
        </w:rPr>
        <w:t>ą</w:t>
      </w:r>
      <w:r w:rsidR="00E91DCD" w:rsidRPr="00546D82">
        <w:rPr>
          <w:rFonts w:ascii="Times New Roman" w:hAnsi="Times New Roman" w:cs="Times New Roman"/>
          <w:sz w:val="24"/>
          <w:szCs w:val="24"/>
        </w:rPr>
        <w:t xml:space="preserve"> klientom informację o</w:t>
      </w:r>
      <w:r w:rsidR="006529E1" w:rsidRPr="00546D82">
        <w:rPr>
          <w:rFonts w:ascii="Times New Roman" w:hAnsi="Times New Roman" w:cs="Times New Roman"/>
          <w:sz w:val="24"/>
          <w:szCs w:val="24"/>
        </w:rPr>
        <w:t>:</w:t>
      </w:r>
    </w:p>
    <w:p w14:paraId="4E548224" w14:textId="687074FC" w:rsidR="006529E1" w:rsidRPr="00546D82" w:rsidRDefault="00E91DCD" w:rsidP="00863CD2">
      <w:pPr>
        <w:pStyle w:val="Akapitzlist"/>
        <w:numPr>
          <w:ilvl w:val="1"/>
          <w:numId w:val="11"/>
        </w:numPr>
        <w:tabs>
          <w:tab w:val="left" w:pos="-720"/>
          <w:tab w:val="left" w:pos="42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I</w:t>
      </w:r>
      <w:r w:rsidR="0033774F" w:rsidRPr="00546D82">
        <w:rPr>
          <w:rFonts w:ascii="Times New Roman" w:hAnsi="Times New Roman" w:cs="Times New Roman"/>
          <w:sz w:val="24"/>
          <w:szCs w:val="24"/>
        </w:rPr>
        <w:t>stotnej zmianie i terminie stosowania Wskaźnika referencyjnego uwzględniającego Istotną zmianę</w:t>
      </w:r>
      <w:r w:rsidR="006529E1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4AB7DCF1" w14:textId="0742170B" w:rsidR="00036CEB" w:rsidRPr="00546D82" w:rsidRDefault="0033774F" w:rsidP="00863CD2">
      <w:pPr>
        <w:pStyle w:val="Akapitzlist"/>
        <w:numPr>
          <w:ilvl w:val="1"/>
          <w:numId w:val="11"/>
        </w:numPr>
        <w:tabs>
          <w:tab w:val="left" w:pos="-720"/>
          <w:tab w:val="left" w:pos="42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miejsc</w:t>
      </w:r>
      <w:r w:rsidR="006529E1" w:rsidRPr="00546D82">
        <w:rPr>
          <w:rFonts w:ascii="Times New Roman" w:hAnsi="Times New Roman" w:cs="Times New Roman"/>
          <w:sz w:val="24"/>
          <w:szCs w:val="24"/>
        </w:rPr>
        <w:t>u</w:t>
      </w:r>
      <w:r w:rsidRPr="00546D82">
        <w:rPr>
          <w:rFonts w:ascii="Times New Roman" w:hAnsi="Times New Roman" w:cs="Times New Roman"/>
          <w:sz w:val="24"/>
          <w:szCs w:val="24"/>
        </w:rPr>
        <w:t xml:space="preserve"> publikacji przez Administratora informacji dotyczących Istotnej zmiany</w:t>
      </w:r>
      <w:r w:rsidR="006529E1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7D7C32FA" w14:textId="1038BCD2" w:rsidR="0033774F" w:rsidRPr="00546D82" w:rsidRDefault="0033774F" w:rsidP="00863CD2">
      <w:pPr>
        <w:pStyle w:val="Akapitzlist"/>
        <w:numPr>
          <w:ilvl w:val="1"/>
          <w:numId w:val="11"/>
        </w:numPr>
        <w:tabs>
          <w:tab w:val="left" w:pos="-720"/>
          <w:tab w:val="left" w:pos="426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zastosowaniu Korekty wraz z opisem sposobu obliczenia Korekty.</w:t>
      </w:r>
    </w:p>
    <w:p w14:paraId="457FF7BB" w14:textId="4066E54B" w:rsidR="005F3CA7" w:rsidRPr="00546D82" w:rsidRDefault="005F3CA7" w:rsidP="00E91DCD">
      <w:pPr>
        <w:pStyle w:val="Nagwek1"/>
        <w:spacing w:before="480" w:after="120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94023540"/>
      <w:r w:rsidRPr="00546D82">
        <w:rPr>
          <w:rFonts w:ascii="Times New Roman" w:hAnsi="Times New Roman" w:cs="Times New Roman"/>
          <w:sz w:val="24"/>
          <w:szCs w:val="24"/>
        </w:rPr>
        <w:t>Rozdział 5.</w:t>
      </w:r>
      <w:r w:rsidRPr="00546D82">
        <w:rPr>
          <w:rFonts w:ascii="Times New Roman" w:hAnsi="Times New Roman" w:cs="Times New Roman"/>
          <w:sz w:val="24"/>
          <w:szCs w:val="24"/>
        </w:rPr>
        <w:tab/>
        <w:t xml:space="preserve">Klauzule </w:t>
      </w:r>
      <w:r w:rsidR="0055612A" w:rsidRPr="00546D82">
        <w:rPr>
          <w:rFonts w:ascii="Times New Roman" w:hAnsi="Times New Roman" w:cs="Times New Roman"/>
          <w:sz w:val="24"/>
          <w:szCs w:val="24"/>
        </w:rPr>
        <w:t>umowne</w:t>
      </w:r>
      <w:bookmarkEnd w:id="4"/>
    </w:p>
    <w:p w14:paraId="19F73E0F" w14:textId="1D7C87F4" w:rsidR="0033774F" w:rsidRPr="00546D82" w:rsidRDefault="0033774F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>§ 7</w:t>
      </w:r>
      <w:r w:rsidR="00E91DCD" w:rsidRPr="00546D82">
        <w:rPr>
          <w:rFonts w:ascii="Times New Roman" w:hAnsi="Times New Roman" w:cs="Times New Roman"/>
          <w:b/>
          <w:sz w:val="24"/>
          <w:szCs w:val="24"/>
        </w:rPr>
        <w:t>.</w:t>
      </w:r>
    </w:p>
    <w:p w14:paraId="3D147E78" w14:textId="52A1E05E" w:rsidR="0033774F" w:rsidRPr="00546D82" w:rsidRDefault="0033774F" w:rsidP="00863CD2">
      <w:pPr>
        <w:pStyle w:val="Akapitzlist"/>
        <w:numPr>
          <w:ilvl w:val="0"/>
          <w:numId w:val="12"/>
        </w:numPr>
        <w:spacing w:before="60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Wzory </w:t>
      </w:r>
      <w:r w:rsidR="003326BE" w:rsidRPr="00546D82">
        <w:rPr>
          <w:rFonts w:ascii="Times New Roman" w:hAnsi="Times New Roman" w:cs="Times New Roman"/>
          <w:sz w:val="24"/>
          <w:szCs w:val="24"/>
        </w:rPr>
        <w:t>K</w:t>
      </w:r>
      <w:r w:rsidRPr="00546D82">
        <w:rPr>
          <w:rFonts w:ascii="Times New Roman" w:hAnsi="Times New Roman" w:cs="Times New Roman"/>
          <w:sz w:val="24"/>
          <w:szCs w:val="24"/>
        </w:rPr>
        <w:t>lauzul awaryjnych na wypadek Istotnej zmiany albo zaprzestania opracowywania Wskaźnika referencyjnego, do stosowania w umowach z</w:t>
      </w:r>
      <w:r w:rsidR="00E91DCD" w:rsidRPr="00546D82">
        <w:rPr>
          <w:rFonts w:ascii="Times New Roman" w:hAnsi="Times New Roman" w:cs="Times New Roman"/>
          <w:sz w:val="24"/>
          <w:szCs w:val="24"/>
        </w:rPr>
        <w:t xml:space="preserve"> klientami, zawiera Załącznik n</w:t>
      </w:r>
      <w:r w:rsidRPr="00546D82">
        <w:rPr>
          <w:rFonts w:ascii="Times New Roman" w:hAnsi="Times New Roman" w:cs="Times New Roman"/>
          <w:sz w:val="24"/>
          <w:szCs w:val="24"/>
        </w:rPr>
        <w:t xml:space="preserve">r 2 </w:t>
      </w:r>
      <w:r w:rsidR="00B15F60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 xml:space="preserve">do Planu. </w:t>
      </w:r>
    </w:p>
    <w:p w14:paraId="5644A433" w14:textId="40B29712" w:rsidR="0033774F" w:rsidRPr="00546D82" w:rsidRDefault="00CF091E" w:rsidP="00863CD2">
      <w:pPr>
        <w:pStyle w:val="Akapitzlist"/>
        <w:numPr>
          <w:ilvl w:val="0"/>
          <w:numId w:val="12"/>
        </w:numPr>
        <w:spacing w:before="60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Zarząd</w:t>
      </w:r>
      <w:r w:rsidR="003011F5" w:rsidRPr="00546D82">
        <w:rPr>
          <w:rFonts w:ascii="Times New Roman" w:hAnsi="Times New Roman" w:cs="Times New Roman"/>
          <w:sz w:val="24"/>
          <w:szCs w:val="24"/>
        </w:rPr>
        <w:t xml:space="preserve"> jest zobowiązan</w:t>
      </w:r>
      <w:r w:rsidRPr="00546D82">
        <w:rPr>
          <w:rFonts w:ascii="Times New Roman" w:hAnsi="Times New Roman" w:cs="Times New Roman"/>
          <w:sz w:val="24"/>
          <w:szCs w:val="24"/>
        </w:rPr>
        <w:t>y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 do wprowadzenia treści </w:t>
      </w:r>
      <w:r w:rsidR="003326BE" w:rsidRPr="00546D82">
        <w:rPr>
          <w:rFonts w:ascii="Times New Roman" w:hAnsi="Times New Roman" w:cs="Times New Roman"/>
          <w:sz w:val="24"/>
          <w:szCs w:val="24"/>
        </w:rPr>
        <w:t>K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lauzul awaryjnych we wzorcach umów oraz </w:t>
      </w:r>
      <w:r w:rsidR="00036CEB" w:rsidRPr="00546D82">
        <w:rPr>
          <w:rFonts w:ascii="Times New Roman" w:hAnsi="Times New Roman" w:cs="Times New Roman"/>
          <w:sz w:val="24"/>
          <w:szCs w:val="24"/>
        </w:rPr>
        <w:t xml:space="preserve">w </w:t>
      </w:r>
      <w:r w:rsidR="0033774F" w:rsidRPr="00546D82">
        <w:rPr>
          <w:rFonts w:ascii="Times New Roman" w:hAnsi="Times New Roman" w:cs="Times New Roman"/>
          <w:sz w:val="24"/>
          <w:szCs w:val="24"/>
        </w:rPr>
        <w:t>umowach zaw</w:t>
      </w:r>
      <w:r w:rsidR="00036CEB" w:rsidRPr="00546D82">
        <w:rPr>
          <w:rFonts w:ascii="Times New Roman" w:hAnsi="Times New Roman" w:cs="Times New Roman"/>
          <w:sz w:val="24"/>
          <w:szCs w:val="24"/>
        </w:rPr>
        <w:t>a</w:t>
      </w:r>
      <w:r w:rsidR="0033774F" w:rsidRPr="00546D82">
        <w:rPr>
          <w:rFonts w:ascii="Times New Roman" w:hAnsi="Times New Roman" w:cs="Times New Roman"/>
          <w:sz w:val="24"/>
          <w:szCs w:val="24"/>
        </w:rPr>
        <w:t>r</w:t>
      </w:r>
      <w:r w:rsidR="00036CEB" w:rsidRPr="00546D82">
        <w:rPr>
          <w:rFonts w:ascii="Times New Roman" w:hAnsi="Times New Roman" w:cs="Times New Roman"/>
          <w:sz w:val="24"/>
          <w:szCs w:val="24"/>
        </w:rPr>
        <w:t>t</w:t>
      </w:r>
      <w:r w:rsidR="0033774F" w:rsidRPr="00546D82">
        <w:rPr>
          <w:rFonts w:ascii="Times New Roman" w:hAnsi="Times New Roman" w:cs="Times New Roman"/>
          <w:sz w:val="24"/>
          <w:szCs w:val="24"/>
        </w:rPr>
        <w:t>ych z klientami, po odpowiednim</w:t>
      </w:r>
      <w:r w:rsidR="001960C6" w:rsidRPr="00546D82">
        <w:rPr>
          <w:rFonts w:ascii="Times New Roman" w:hAnsi="Times New Roman" w:cs="Times New Roman"/>
          <w:sz w:val="24"/>
          <w:szCs w:val="24"/>
        </w:rPr>
        <w:t xml:space="preserve"> ich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 dostosowaniu do specyfiki danego pro</w:t>
      </w:r>
      <w:r w:rsidR="00E91DCD" w:rsidRPr="00546D82">
        <w:rPr>
          <w:rFonts w:ascii="Times New Roman" w:hAnsi="Times New Roman" w:cs="Times New Roman"/>
          <w:sz w:val="24"/>
          <w:szCs w:val="24"/>
        </w:rPr>
        <w:t>duktu lub usługi.</w:t>
      </w:r>
    </w:p>
    <w:p w14:paraId="31ABC905" w14:textId="12F48141" w:rsidR="00C4075A" w:rsidRPr="00546D82" w:rsidRDefault="00C4075A" w:rsidP="00863CD2">
      <w:pPr>
        <w:pStyle w:val="Akapitzlist"/>
        <w:numPr>
          <w:ilvl w:val="0"/>
          <w:numId w:val="12"/>
        </w:numPr>
        <w:spacing w:before="60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Klauzule awaryjne będą włączane do umów obowiązujących na podstawie aneksów</w:t>
      </w:r>
      <w:r w:rsidR="00CF091E" w:rsidRPr="00546D82">
        <w:rPr>
          <w:rFonts w:ascii="Times New Roman" w:hAnsi="Times New Roman" w:cs="Times New Roman"/>
          <w:sz w:val="24"/>
          <w:szCs w:val="24"/>
        </w:rPr>
        <w:t>.</w:t>
      </w:r>
    </w:p>
    <w:p w14:paraId="776845E7" w14:textId="49C6E572" w:rsidR="006652ED" w:rsidRPr="00546D82" w:rsidRDefault="006652ED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5554" w:rsidRPr="00546D82">
        <w:rPr>
          <w:rFonts w:ascii="Times New Roman" w:hAnsi="Times New Roman" w:cs="Times New Roman"/>
          <w:b/>
          <w:sz w:val="24"/>
          <w:szCs w:val="24"/>
        </w:rPr>
        <w:t>8</w:t>
      </w:r>
      <w:r w:rsidRPr="00546D82">
        <w:rPr>
          <w:rFonts w:ascii="Times New Roman" w:hAnsi="Times New Roman" w:cs="Times New Roman"/>
          <w:b/>
          <w:sz w:val="24"/>
          <w:szCs w:val="24"/>
        </w:rPr>
        <w:t>.</w:t>
      </w:r>
    </w:p>
    <w:p w14:paraId="764EAB98" w14:textId="62BE60A1" w:rsidR="006652ED" w:rsidRPr="00546D82" w:rsidRDefault="00785C58" w:rsidP="00863CD2">
      <w:pPr>
        <w:pStyle w:val="Akapitzlist"/>
        <w:numPr>
          <w:ilvl w:val="0"/>
          <w:numId w:val="3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52ED" w:rsidRPr="00546D82">
        <w:rPr>
          <w:rFonts w:ascii="Times New Roman" w:hAnsi="Times New Roman" w:cs="Times New Roman"/>
          <w:sz w:val="24"/>
          <w:szCs w:val="24"/>
        </w:rPr>
        <w:t>uwzględni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6652ED" w:rsidRPr="00546D82">
        <w:rPr>
          <w:rFonts w:ascii="Times New Roman" w:hAnsi="Times New Roman" w:cs="Times New Roman"/>
          <w:sz w:val="24"/>
          <w:szCs w:val="24"/>
        </w:rPr>
        <w:t xml:space="preserve"> we wzor</w:t>
      </w:r>
      <w:r w:rsidR="003326BE" w:rsidRPr="00546D82">
        <w:rPr>
          <w:rFonts w:ascii="Times New Roman" w:hAnsi="Times New Roman" w:cs="Times New Roman"/>
          <w:sz w:val="24"/>
          <w:szCs w:val="24"/>
        </w:rPr>
        <w:t>c</w:t>
      </w:r>
      <w:r w:rsidR="006652ED" w:rsidRPr="00546D82">
        <w:rPr>
          <w:rFonts w:ascii="Times New Roman" w:hAnsi="Times New Roman" w:cs="Times New Roman"/>
          <w:sz w:val="24"/>
          <w:szCs w:val="24"/>
        </w:rPr>
        <w:t>ach umów z konsumentami</w:t>
      </w:r>
      <w:r w:rsidR="000B27F0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6652ED" w:rsidRPr="00546D82">
        <w:rPr>
          <w:rFonts w:ascii="Times New Roman" w:hAnsi="Times New Roman" w:cs="Times New Roman"/>
          <w:sz w:val="24"/>
          <w:szCs w:val="24"/>
        </w:rPr>
        <w:t xml:space="preserve">i </w:t>
      </w:r>
      <w:r w:rsidR="00A43C7C" w:rsidRPr="00546D82">
        <w:rPr>
          <w:rFonts w:ascii="Times New Roman" w:hAnsi="Times New Roman" w:cs="Times New Roman"/>
          <w:sz w:val="24"/>
          <w:szCs w:val="24"/>
        </w:rPr>
        <w:t xml:space="preserve">we wzorcach </w:t>
      </w:r>
      <w:r w:rsidR="000B27F0" w:rsidRPr="00546D82">
        <w:rPr>
          <w:rFonts w:ascii="Times New Roman" w:hAnsi="Times New Roman" w:cs="Times New Roman"/>
          <w:sz w:val="24"/>
          <w:szCs w:val="24"/>
        </w:rPr>
        <w:t xml:space="preserve">umów </w:t>
      </w:r>
      <w:r w:rsidR="003326BE" w:rsidRPr="00546D82">
        <w:rPr>
          <w:rFonts w:ascii="Times New Roman" w:hAnsi="Times New Roman" w:cs="Times New Roman"/>
          <w:sz w:val="24"/>
          <w:szCs w:val="24"/>
        </w:rPr>
        <w:t xml:space="preserve">lub </w:t>
      </w:r>
      <w:r w:rsidR="00A43C7C" w:rsidRPr="00546D82">
        <w:rPr>
          <w:rFonts w:ascii="Times New Roman" w:hAnsi="Times New Roman" w:cs="Times New Roman"/>
          <w:sz w:val="24"/>
          <w:szCs w:val="24"/>
        </w:rPr>
        <w:t xml:space="preserve">w </w:t>
      </w:r>
      <w:r w:rsidR="006652ED" w:rsidRPr="00546D82">
        <w:rPr>
          <w:rFonts w:ascii="Times New Roman" w:hAnsi="Times New Roman" w:cs="Times New Roman"/>
          <w:sz w:val="24"/>
          <w:szCs w:val="24"/>
        </w:rPr>
        <w:t xml:space="preserve">regulaminach </w:t>
      </w:r>
      <w:r w:rsidR="003326BE" w:rsidRPr="00546D82">
        <w:rPr>
          <w:rFonts w:ascii="Times New Roman" w:hAnsi="Times New Roman" w:cs="Times New Roman"/>
          <w:sz w:val="24"/>
          <w:szCs w:val="24"/>
        </w:rPr>
        <w:t xml:space="preserve">dotyczących </w:t>
      </w:r>
      <w:r w:rsidR="006652ED" w:rsidRPr="00546D82">
        <w:rPr>
          <w:rFonts w:ascii="Times New Roman" w:hAnsi="Times New Roman" w:cs="Times New Roman"/>
          <w:sz w:val="24"/>
          <w:szCs w:val="24"/>
        </w:rPr>
        <w:t>kredyt</w:t>
      </w:r>
      <w:r w:rsidR="003326BE" w:rsidRPr="00546D82">
        <w:rPr>
          <w:rFonts w:ascii="Times New Roman" w:hAnsi="Times New Roman" w:cs="Times New Roman"/>
          <w:sz w:val="24"/>
          <w:szCs w:val="24"/>
        </w:rPr>
        <w:t>ów</w:t>
      </w:r>
      <w:r w:rsidR="006652ED" w:rsidRPr="00546D82">
        <w:rPr>
          <w:rFonts w:ascii="Times New Roman" w:hAnsi="Times New Roman" w:cs="Times New Roman"/>
          <w:sz w:val="24"/>
          <w:szCs w:val="24"/>
        </w:rPr>
        <w:t xml:space="preserve"> klientów niebędących konsumentami</w:t>
      </w:r>
      <w:r w:rsidR="000B27F0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6652ED" w:rsidRPr="00546D82">
        <w:rPr>
          <w:rFonts w:ascii="Times New Roman" w:hAnsi="Times New Roman" w:cs="Times New Roman"/>
          <w:sz w:val="24"/>
          <w:szCs w:val="24"/>
        </w:rPr>
        <w:t>następując</w:t>
      </w:r>
      <w:r w:rsidR="00A43C7C" w:rsidRPr="00546D82">
        <w:rPr>
          <w:rFonts w:ascii="Times New Roman" w:hAnsi="Times New Roman" w:cs="Times New Roman"/>
          <w:sz w:val="24"/>
          <w:szCs w:val="24"/>
        </w:rPr>
        <w:t>e</w:t>
      </w:r>
      <w:r w:rsidR="006652ED" w:rsidRPr="00546D82">
        <w:rPr>
          <w:rFonts w:ascii="Times New Roman" w:hAnsi="Times New Roman" w:cs="Times New Roman"/>
          <w:sz w:val="24"/>
          <w:szCs w:val="24"/>
        </w:rPr>
        <w:t xml:space="preserve"> element</w:t>
      </w:r>
      <w:r w:rsidR="00A43C7C" w:rsidRPr="00546D82">
        <w:rPr>
          <w:rFonts w:ascii="Times New Roman" w:hAnsi="Times New Roman" w:cs="Times New Roman"/>
          <w:sz w:val="24"/>
          <w:szCs w:val="24"/>
        </w:rPr>
        <w:t>y</w:t>
      </w:r>
      <w:r w:rsidR="006652ED" w:rsidRPr="00546D82">
        <w:rPr>
          <w:rFonts w:ascii="Times New Roman" w:hAnsi="Times New Roman" w:cs="Times New Roman"/>
          <w:sz w:val="24"/>
          <w:szCs w:val="24"/>
        </w:rPr>
        <w:t>:</w:t>
      </w:r>
    </w:p>
    <w:p w14:paraId="4319F003" w14:textId="7C31FB1B" w:rsidR="006652ED" w:rsidRPr="00546D82" w:rsidRDefault="006652ED" w:rsidP="00863CD2">
      <w:pPr>
        <w:pStyle w:val="Akapitzlist"/>
        <w:numPr>
          <w:ilvl w:val="0"/>
          <w:numId w:val="4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nazw</w:t>
      </w:r>
      <w:r w:rsidR="00A43C7C" w:rsidRPr="00546D82">
        <w:rPr>
          <w:rFonts w:ascii="Times New Roman" w:hAnsi="Times New Roman" w:cs="Times New Roman"/>
          <w:sz w:val="24"/>
          <w:szCs w:val="24"/>
        </w:rPr>
        <w:t>a</w:t>
      </w:r>
      <w:r w:rsidRPr="00546D82">
        <w:rPr>
          <w:rFonts w:ascii="Times New Roman" w:hAnsi="Times New Roman" w:cs="Times New Roman"/>
          <w:sz w:val="24"/>
          <w:szCs w:val="24"/>
        </w:rPr>
        <w:t xml:space="preserve"> Wskaźnika referencyjnego i Administratora Wskaźnika referencyjnego</w:t>
      </w:r>
      <w:r w:rsidR="003326BE" w:rsidRPr="00546D82">
        <w:rPr>
          <w:rFonts w:ascii="Times New Roman" w:hAnsi="Times New Roman" w:cs="Times New Roman"/>
          <w:sz w:val="24"/>
          <w:szCs w:val="24"/>
        </w:rPr>
        <w:t xml:space="preserve"> oraz</w:t>
      </w:r>
      <w:r w:rsidRPr="00546D82">
        <w:rPr>
          <w:rFonts w:ascii="Times New Roman" w:hAnsi="Times New Roman" w:cs="Times New Roman"/>
          <w:sz w:val="24"/>
          <w:szCs w:val="24"/>
        </w:rPr>
        <w:t xml:space="preserve"> kod ISIN Wskaźnika referencyjnego</w:t>
      </w:r>
      <w:r w:rsidR="003326BE" w:rsidRPr="00546D82">
        <w:rPr>
          <w:rFonts w:ascii="Times New Roman" w:hAnsi="Times New Roman" w:cs="Times New Roman"/>
          <w:sz w:val="24"/>
          <w:szCs w:val="24"/>
        </w:rPr>
        <w:t xml:space="preserve">, </w:t>
      </w:r>
      <w:r w:rsidRPr="00546D82">
        <w:rPr>
          <w:rFonts w:ascii="Times New Roman" w:hAnsi="Times New Roman" w:cs="Times New Roman"/>
          <w:sz w:val="24"/>
          <w:szCs w:val="24"/>
        </w:rPr>
        <w:t>jeśli jest dostępny</w:t>
      </w:r>
      <w:r w:rsidR="003326BE" w:rsidRPr="00546D82">
        <w:rPr>
          <w:rFonts w:ascii="Times New Roman" w:hAnsi="Times New Roman" w:cs="Times New Roman"/>
          <w:sz w:val="24"/>
          <w:szCs w:val="24"/>
        </w:rPr>
        <w:t>,</w:t>
      </w:r>
    </w:p>
    <w:p w14:paraId="55197E6D" w14:textId="1F87336F" w:rsidR="006652ED" w:rsidRPr="00546D82" w:rsidRDefault="000B27F0" w:rsidP="00863CD2">
      <w:pPr>
        <w:pStyle w:val="Akapitzlist"/>
        <w:numPr>
          <w:ilvl w:val="0"/>
          <w:numId w:val="4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 przypadku wskazania Wskaźnika alternatywnego</w:t>
      </w:r>
      <w:r w:rsidR="006652ED" w:rsidRPr="00546D82">
        <w:rPr>
          <w:rFonts w:ascii="Times New Roman" w:hAnsi="Times New Roman" w:cs="Times New Roman"/>
          <w:sz w:val="24"/>
          <w:szCs w:val="24"/>
        </w:rPr>
        <w:t>, nazw</w:t>
      </w:r>
      <w:r w:rsidR="00A43C7C" w:rsidRPr="00546D82">
        <w:rPr>
          <w:rFonts w:ascii="Times New Roman" w:hAnsi="Times New Roman" w:cs="Times New Roman"/>
          <w:sz w:val="24"/>
          <w:szCs w:val="24"/>
        </w:rPr>
        <w:t>a</w:t>
      </w:r>
      <w:r w:rsidR="006652ED" w:rsidRPr="00546D82">
        <w:rPr>
          <w:rFonts w:ascii="Times New Roman" w:hAnsi="Times New Roman" w:cs="Times New Roman"/>
          <w:sz w:val="24"/>
          <w:szCs w:val="24"/>
        </w:rPr>
        <w:t xml:space="preserve"> Wskaźnika alternatywnego </w:t>
      </w:r>
      <w:r w:rsidR="004C747E" w:rsidRPr="00546D82">
        <w:rPr>
          <w:rFonts w:ascii="Times New Roman" w:hAnsi="Times New Roman" w:cs="Times New Roman"/>
          <w:sz w:val="24"/>
          <w:szCs w:val="24"/>
        </w:rPr>
        <w:br/>
      </w:r>
      <w:r w:rsidR="006652ED" w:rsidRPr="00546D82">
        <w:rPr>
          <w:rFonts w:ascii="Times New Roman" w:hAnsi="Times New Roman" w:cs="Times New Roman"/>
          <w:sz w:val="24"/>
          <w:szCs w:val="24"/>
        </w:rPr>
        <w:t>i</w:t>
      </w:r>
      <w:r w:rsidR="004C747E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6652ED" w:rsidRPr="00546D82">
        <w:rPr>
          <w:rFonts w:ascii="Times New Roman" w:hAnsi="Times New Roman" w:cs="Times New Roman"/>
          <w:sz w:val="24"/>
          <w:szCs w:val="24"/>
        </w:rPr>
        <w:t>Administratora Wskaźnika alternatywnego, kod ISIN Wskaźnika alternatywnego</w:t>
      </w:r>
      <w:r w:rsidRPr="00546D82">
        <w:rPr>
          <w:rFonts w:ascii="Times New Roman" w:hAnsi="Times New Roman" w:cs="Times New Roman"/>
          <w:sz w:val="24"/>
          <w:szCs w:val="24"/>
        </w:rPr>
        <w:t xml:space="preserve">, </w:t>
      </w:r>
      <w:r w:rsidR="006652ED" w:rsidRPr="00546D82">
        <w:rPr>
          <w:rFonts w:ascii="Times New Roman" w:hAnsi="Times New Roman" w:cs="Times New Roman"/>
          <w:sz w:val="24"/>
          <w:szCs w:val="24"/>
        </w:rPr>
        <w:t>jeśli jest dostępny;</w:t>
      </w:r>
    </w:p>
    <w:p w14:paraId="71259F8D" w14:textId="581177BF" w:rsidR="006652ED" w:rsidRPr="00546D82" w:rsidRDefault="006652ED" w:rsidP="00863CD2">
      <w:pPr>
        <w:pStyle w:val="Akapitzlist"/>
        <w:numPr>
          <w:ilvl w:val="0"/>
          <w:numId w:val="4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zasad</w:t>
      </w:r>
      <w:r w:rsidR="00A43C7C" w:rsidRPr="00546D82">
        <w:rPr>
          <w:rFonts w:ascii="Times New Roman" w:hAnsi="Times New Roman" w:cs="Times New Roman"/>
          <w:sz w:val="24"/>
          <w:szCs w:val="24"/>
        </w:rPr>
        <w:t>y</w:t>
      </w:r>
      <w:r w:rsidRPr="00546D82">
        <w:rPr>
          <w:rFonts w:ascii="Times New Roman" w:hAnsi="Times New Roman" w:cs="Times New Roman"/>
          <w:sz w:val="24"/>
          <w:szCs w:val="24"/>
        </w:rPr>
        <w:t xml:space="preserve"> i tryb odczytywania lub wyliczania wartości Wskaźnika referencyjnego na potrzeby określenia poziomu oprocentowania kredytu i obliczenia kwoty odsetek;</w:t>
      </w:r>
    </w:p>
    <w:p w14:paraId="4B66E04E" w14:textId="77777777" w:rsidR="006652ED" w:rsidRPr="00546D82" w:rsidRDefault="006652ED" w:rsidP="00863CD2">
      <w:pPr>
        <w:pStyle w:val="Akapitzlist"/>
        <w:numPr>
          <w:ilvl w:val="0"/>
          <w:numId w:val="4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wysokości marży dodawanej do Wskaźnika referencyjnego;</w:t>
      </w:r>
    </w:p>
    <w:p w14:paraId="44B7E262" w14:textId="253EBBD6" w:rsidR="006652ED" w:rsidRPr="00546D82" w:rsidRDefault="006652ED" w:rsidP="00863CD2">
      <w:pPr>
        <w:pStyle w:val="Akapitzlist"/>
        <w:numPr>
          <w:ilvl w:val="0"/>
          <w:numId w:val="4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zasad</w:t>
      </w:r>
      <w:r w:rsidR="00A43C7C" w:rsidRPr="00546D82">
        <w:rPr>
          <w:rFonts w:ascii="Times New Roman" w:hAnsi="Times New Roman" w:cs="Times New Roman"/>
          <w:sz w:val="24"/>
          <w:szCs w:val="24"/>
        </w:rPr>
        <w:t>y</w:t>
      </w:r>
      <w:r w:rsidRPr="00546D82">
        <w:rPr>
          <w:rFonts w:ascii="Times New Roman" w:hAnsi="Times New Roman" w:cs="Times New Roman"/>
          <w:sz w:val="24"/>
          <w:szCs w:val="24"/>
        </w:rPr>
        <w:t xml:space="preserve"> postępowania w przypadku ujemnych wartości Wskaźnika referencyjnego</w:t>
      </w:r>
      <w:r w:rsidR="004C747E" w:rsidRPr="00546D82">
        <w:rPr>
          <w:rFonts w:ascii="Times New Roman" w:hAnsi="Times New Roman" w:cs="Times New Roman"/>
          <w:sz w:val="24"/>
          <w:szCs w:val="24"/>
        </w:rPr>
        <w:t>.</w:t>
      </w:r>
    </w:p>
    <w:p w14:paraId="5E169E93" w14:textId="5D5C8694" w:rsidR="006652ED" w:rsidRPr="00546D82" w:rsidRDefault="00D3715C" w:rsidP="00863CD2">
      <w:pPr>
        <w:pStyle w:val="Akapitzlist"/>
        <w:numPr>
          <w:ilvl w:val="0"/>
          <w:numId w:val="3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oraz pracownicy jednostek sprzedażowych Banku</w:t>
      </w:r>
      <w:r w:rsidR="003011F5" w:rsidRPr="00546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są</w:t>
      </w:r>
      <w:r w:rsidR="00036CEB" w:rsidRPr="00546D82">
        <w:rPr>
          <w:rFonts w:ascii="Times New Roman" w:hAnsi="Times New Roman" w:cs="Times New Roman"/>
          <w:sz w:val="24"/>
          <w:szCs w:val="24"/>
        </w:rPr>
        <w:t xml:space="preserve"> zobowiązan</w:t>
      </w:r>
      <w:r>
        <w:rPr>
          <w:rFonts w:ascii="Times New Roman" w:hAnsi="Times New Roman" w:cs="Times New Roman"/>
          <w:sz w:val="24"/>
          <w:szCs w:val="24"/>
        </w:rPr>
        <w:t>i</w:t>
      </w:r>
      <w:r w:rsidR="00036CEB" w:rsidRPr="00546D82">
        <w:rPr>
          <w:rFonts w:ascii="Times New Roman" w:hAnsi="Times New Roman" w:cs="Times New Roman"/>
          <w:sz w:val="24"/>
          <w:szCs w:val="24"/>
        </w:rPr>
        <w:t xml:space="preserve"> do </w:t>
      </w:r>
      <w:r w:rsidR="00125554" w:rsidRPr="00546D82">
        <w:rPr>
          <w:rFonts w:ascii="Times New Roman" w:hAnsi="Times New Roman" w:cs="Times New Roman"/>
          <w:sz w:val="24"/>
          <w:szCs w:val="24"/>
        </w:rPr>
        <w:t>przekazani</w:t>
      </w:r>
      <w:r w:rsidR="00036CEB" w:rsidRPr="00546D82">
        <w:rPr>
          <w:rFonts w:ascii="Times New Roman" w:hAnsi="Times New Roman" w:cs="Times New Roman"/>
          <w:sz w:val="24"/>
          <w:szCs w:val="24"/>
        </w:rPr>
        <w:t>a</w:t>
      </w:r>
      <w:r w:rsidR="00125554" w:rsidRPr="00546D82">
        <w:rPr>
          <w:rFonts w:ascii="Times New Roman" w:hAnsi="Times New Roman" w:cs="Times New Roman"/>
          <w:sz w:val="24"/>
          <w:szCs w:val="24"/>
        </w:rPr>
        <w:t xml:space="preserve"> klientom</w:t>
      </w:r>
      <w:r w:rsidR="00CC240D" w:rsidRPr="00546D82">
        <w:rPr>
          <w:rFonts w:ascii="Times New Roman" w:hAnsi="Times New Roman" w:cs="Times New Roman"/>
          <w:sz w:val="24"/>
          <w:szCs w:val="24"/>
        </w:rPr>
        <w:t>,</w:t>
      </w:r>
      <w:r w:rsidR="007F3B0D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125554" w:rsidRPr="00546D82">
        <w:rPr>
          <w:rFonts w:ascii="Times New Roman" w:hAnsi="Times New Roman" w:cs="Times New Roman"/>
          <w:sz w:val="24"/>
          <w:szCs w:val="24"/>
        </w:rPr>
        <w:t>zawierającym z Bankiem umowy odwołujące się do Wskaźnika referencyjnego, informacji o</w:t>
      </w:r>
      <w:r w:rsidR="006652ED" w:rsidRPr="00546D82">
        <w:rPr>
          <w:rFonts w:ascii="Times New Roman" w:hAnsi="Times New Roman" w:cs="Times New Roman"/>
          <w:sz w:val="24"/>
          <w:szCs w:val="24"/>
        </w:rPr>
        <w:t>:</w:t>
      </w:r>
    </w:p>
    <w:p w14:paraId="24CE6165" w14:textId="2E38825B" w:rsidR="006652ED" w:rsidRPr="00546D82" w:rsidRDefault="006652ED" w:rsidP="00863CD2">
      <w:pPr>
        <w:pStyle w:val="Akapitzlist"/>
        <w:numPr>
          <w:ilvl w:val="1"/>
          <w:numId w:val="5"/>
        </w:numPr>
        <w:spacing w:before="60"/>
        <w:ind w:left="851" w:hanging="44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uprawnieniach Administratora do wprowadzania – w trybie określonym w dokumentacji Wskaźnika referencyjnego – zmian w metodzie opracowywania Wskaźnika referencyjnego, opublikowanej na stron</w:t>
      </w:r>
      <w:r w:rsidR="004C747E" w:rsidRPr="00546D82">
        <w:rPr>
          <w:rFonts w:ascii="Times New Roman" w:hAnsi="Times New Roman" w:cs="Times New Roman"/>
          <w:sz w:val="24"/>
          <w:szCs w:val="24"/>
        </w:rPr>
        <w:t>ie internetowej Administratora;</w:t>
      </w:r>
    </w:p>
    <w:p w14:paraId="39A39E65" w14:textId="48ED9FAB" w:rsidR="006652ED" w:rsidRPr="00546D82" w:rsidRDefault="006652ED" w:rsidP="00863CD2">
      <w:pPr>
        <w:pStyle w:val="Akapitzlist"/>
        <w:numPr>
          <w:ilvl w:val="1"/>
          <w:numId w:val="5"/>
        </w:numPr>
        <w:spacing w:before="60"/>
        <w:ind w:left="851" w:hanging="44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możliwości zaprzestania opracowywania Wskaźnika referencyjnego w sposób trwały lub czasowy, w trybie określonym w dokumentacji Wskaźnika referencyjnego dostępnej </w:t>
      </w:r>
      <w:r w:rsidR="004C747E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 xml:space="preserve">na stronie internetowej Administratora, z zastrzeżeniem zachowania postanowień art. 21 </w:t>
      </w:r>
      <w:r w:rsidRPr="00546D82">
        <w:rPr>
          <w:rFonts w:ascii="Times New Roman" w:hAnsi="Times New Roman" w:cs="Times New Roman"/>
          <w:sz w:val="24"/>
          <w:szCs w:val="24"/>
        </w:rPr>
        <w:br/>
        <w:t>i art. 23 Rozporządzenia BMR oraz wynikających z nich uprawnień organu nadzoru;</w:t>
      </w:r>
    </w:p>
    <w:p w14:paraId="55006693" w14:textId="6427071F" w:rsidR="006652ED" w:rsidRPr="00546D82" w:rsidRDefault="006652ED" w:rsidP="00863CD2">
      <w:pPr>
        <w:pStyle w:val="Akapitzlist"/>
        <w:numPr>
          <w:ilvl w:val="1"/>
          <w:numId w:val="5"/>
        </w:numPr>
        <w:spacing w:before="60"/>
        <w:ind w:left="851" w:hanging="44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możliwości podjęcia przez Administratora decyzji o zaprzestaniu opracowywania Wskaźnika referencyjnego</w:t>
      </w:r>
      <w:r w:rsidR="00BF2374" w:rsidRPr="00546D82">
        <w:rPr>
          <w:rFonts w:ascii="Times New Roman" w:hAnsi="Times New Roman" w:cs="Times New Roman"/>
          <w:sz w:val="24"/>
          <w:szCs w:val="24"/>
        </w:rPr>
        <w:t xml:space="preserve">, </w:t>
      </w:r>
      <w:r w:rsidRPr="00546D82">
        <w:rPr>
          <w:rFonts w:ascii="Times New Roman" w:hAnsi="Times New Roman" w:cs="Times New Roman"/>
          <w:sz w:val="24"/>
          <w:szCs w:val="24"/>
        </w:rPr>
        <w:t>w szczególności</w:t>
      </w:r>
      <w:r w:rsidR="00BF2374" w:rsidRPr="00546D82">
        <w:rPr>
          <w:rFonts w:ascii="Times New Roman" w:hAnsi="Times New Roman" w:cs="Times New Roman"/>
          <w:sz w:val="24"/>
          <w:szCs w:val="24"/>
        </w:rPr>
        <w:t>,</w:t>
      </w:r>
      <w:r w:rsidRPr="00546D82">
        <w:rPr>
          <w:rFonts w:ascii="Times New Roman" w:hAnsi="Times New Roman" w:cs="Times New Roman"/>
          <w:sz w:val="24"/>
          <w:szCs w:val="24"/>
        </w:rPr>
        <w:t xml:space="preserve"> z uwagi na:</w:t>
      </w:r>
    </w:p>
    <w:p w14:paraId="0B6C0619" w14:textId="02D6BB5C" w:rsidR="006652ED" w:rsidRPr="00546D82" w:rsidRDefault="006652ED" w:rsidP="00863CD2">
      <w:pPr>
        <w:pStyle w:val="Akapitzlist"/>
        <w:numPr>
          <w:ilvl w:val="2"/>
          <w:numId w:val="5"/>
        </w:numPr>
        <w:spacing w:before="60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stwierdzony przez Administratora brak reprezentatywności danych wejściowych </w:t>
      </w:r>
      <w:r w:rsidR="004C747E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dla rynku lub realiów gospodarczych, których pomiar jest celem Wskaźnika referencyjnego,</w:t>
      </w:r>
    </w:p>
    <w:p w14:paraId="4A32A7C0" w14:textId="7E3E41EF" w:rsidR="006652ED" w:rsidRPr="00546D82" w:rsidRDefault="006652ED" w:rsidP="00863CD2">
      <w:pPr>
        <w:pStyle w:val="Akapitzlist"/>
        <w:numPr>
          <w:ilvl w:val="2"/>
          <w:numId w:val="5"/>
        </w:numPr>
        <w:spacing w:before="60"/>
        <w:ind w:left="1276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lastRenderedPageBreak/>
        <w:t>zakończenie przez Administratora działalności w zakresie opracowywania danego Wskaźnika referencyjnego</w:t>
      </w:r>
      <w:r w:rsidR="004C747E" w:rsidRPr="00546D82">
        <w:rPr>
          <w:rFonts w:ascii="Times New Roman" w:hAnsi="Times New Roman" w:cs="Times New Roman"/>
          <w:sz w:val="24"/>
          <w:szCs w:val="24"/>
        </w:rPr>
        <w:t>.</w:t>
      </w:r>
    </w:p>
    <w:p w14:paraId="2559E430" w14:textId="578535B9" w:rsidR="00C87365" w:rsidRPr="00546D82" w:rsidRDefault="00C87365" w:rsidP="00C87365">
      <w:pPr>
        <w:pStyle w:val="Nagwek1"/>
        <w:spacing w:before="480" w:after="12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Toc94023541"/>
      <w:r w:rsidRPr="00546D82">
        <w:rPr>
          <w:rFonts w:ascii="Times New Roman" w:hAnsi="Times New Roman" w:cs="Times New Roman"/>
          <w:sz w:val="24"/>
          <w:szCs w:val="24"/>
        </w:rPr>
        <w:t>Rozdział 6.</w:t>
      </w:r>
      <w:r w:rsidRPr="00546D82">
        <w:rPr>
          <w:rFonts w:ascii="Times New Roman" w:hAnsi="Times New Roman" w:cs="Times New Roman"/>
          <w:sz w:val="24"/>
          <w:szCs w:val="24"/>
        </w:rPr>
        <w:tab/>
      </w:r>
      <w:r w:rsidR="00B35D65" w:rsidRPr="00546D82">
        <w:rPr>
          <w:rFonts w:ascii="Times New Roman" w:hAnsi="Times New Roman" w:cs="Times New Roman"/>
          <w:sz w:val="24"/>
          <w:szCs w:val="24"/>
        </w:rPr>
        <w:t>Obowiązki informacyjne</w:t>
      </w:r>
      <w:bookmarkEnd w:id="5"/>
    </w:p>
    <w:p w14:paraId="580BEA11" w14:textId="053B1455" w:rsidR="00E37C12" w:rsidRPr="00546D82" w:rsidRDefault="00E37C12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5554" w:rsidRPr="00546D82">
        <w:rPr>
          <w:rFonts w:ascii="Times New Roman" w:hAnsi="Times New Roman" w:cs="Times New Roman"/>
          <w:b/>
          <w:sz w:val="24"/>
          <w:szCs w:val="24"/>
        </w:rPr>
        <w:t>9</w:t>
      </w:r>
      <w:r w:rsidRPr="00546D82">
        <w:rPr>
          <w:rFonts w:ascii="Times New Roman" w:hAnsi="Times New Roman" w:cs="Times New Roman"/>
          <w:b/>
          <w:sz w:val="24"/>
          <w:szCs w:val="24"/>
        </w:rPr>
        <w:t>.</w:t>
      </w:r>
    </w:p>
    <w:p w14:paraId="6E1C6AF2" w14:textId="61C0169E" w:rsidR="00E37C12" w:rsidRPr="00546D82" w:rsidRDefault="00CF091E" w:rsidP="00B15F60">
      <w:pPr>
        <w:spacing w:before="6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Bank</w:t>
      </w:r>
      <w:r w:rsidR="003011F5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E37C12" w:rsidRPr="00546D82">
        <w:rPr>
          <w:rFonts w:ascii="Times New Roman" w:hAnsi="Times New Roman" w:cs="Times New Roman"/>
          <w:sz w:val="24"/>
          <w:szCs w:val="24"/>
        </w:rPr>
        <w:t>zamieszcza na stronie internetowej Banku (</w:t>
      </w:r>
      <w:hyperlink r:id="rId9" w:history="1">
        <w:r w:rsidR="001A37A7" w:rsidRPr="002B68D9">
          <w:rPr>
            <w:rStyle w:val="Hipercze"/>
            <w:rFonts w:ascii="Times New Roman" w:hAnsi="Times New Roman" w:cs="Times New Roman"/>
            <w:sz w:val="24"/>
            <w:szCs w:val="24"/>
          </w:rPr>
          <w:t>www.bshajnowka.pl</w:t>
        </w:r>
      </w:hyperlink>
      <w:r w:rsidR="00E37C12" w:rsidRPr="00546D82">
        <w:rPr>
          <w:rFonts w:ascii="Times New Roman" w:hAnsi="Times New Roman" w:cs="Times New Roman"/>
          <w:sz w:val="24"/>
          <w:szCs w:val="24"/>
        </w:rPr>
        <w:t>)</w:t>
      </w:r>
      <w:r w:rsidR="005F46F3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E37C12" w:rsidRPr="00546D82">
        <w:rPr>
          <w:rFonts w:ascii="Times New Roman" w:hAnsi="Times New Roman" w:cs="Times New Roman"/>
          <w:sz w:val="24"/>
          <w:szCs w:val="24"/>
        </w:rPr>
        <w:t>informację</w:t>
      </w:r>
      <w:r w:rsidR="000E04F0" w:rsidRPr="00546D82">
        <w:rPr>
          <w:rFonts w:ascii="Times New Roman" w:hAnsi="Times New Roman" w:cs="Times New Roman"/>
          <w:sz w:val="24"/>
          <w:szCs w:val="24"/>
        </w:rPr>
        <w:t xml:space="preserve"> o</w:t>
      </w:r>
      <w:r w:rsidR="00E37C12" w:rsidRPr="00546D82">
        <w:rPr>
          <w:rFonts w:ascii="Times New Roman" w:hAnsi="Times New Roman" w:cs="Times New Roman"/>
          <w:sz w:val="24"/>
          <w:szCs w:val="24"/>
        </w:rPr>
        <w:t>:</w:t>
      </w:r>
    </w:p>
    <w:p w14:paraId="533FB389" w14:textId="1B514C84" w:rsidR="00E37C12" w:rsidRPr="00546D82" w:rsidRDefault="00E37C12" w:rsidP="00863CD2">
      <w:pPr>
        <w:pStyle w:val="Akapitzlist"/>
        <w:numPr>
          <w:ilvl w:val="1"/>
          <w:numId w:val="6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prowadzony</w:t>
      </w:r>
      <w:r w:rsidR="000E04F0" w:rsidRPr="00546D82">
        <w:rPr>
          <w:rFonts w:ascii="Times New Roman" w:hAnsi="Times New Roman" w:cs="Times New Roman"/>
          <w:sz w:val="24"/>
          <w:szCs w:val="24"/>
        </w:rPr>
        <w:t>ch</w:t>
      </w:r>
      <w:r w:rsidRPr="00546D82">
        <w:rPr>
          <w:rFonts w:ascii="Times New Roman" w:hAnsi="Times New Roman" w:cs="Times New Roman"/>
          <w:sz w:val="24"/>
          <w:szCs w:val="24"/>
        </w:rPr>
        <w:t xml:space="preserve"> przez Administratora konsultacj</w:t>
      </w:r>
      <w:r w:rsidR="000E04F0" w:rsidRPr="00546D82">
        <w:rPr>
          <w:rFonts w:ascii="Times New Roman" w:hAnsi="Times New Roman" w:cs="Times New Roman"/>
          <w:sz w:val="24"/>
          <w:szCs w:val="24"/>
        </w:rPr>
        <w:t>ach</w:t>
      </w:r>
      <w:r w:rsidRPr="00546D82">
        <w:rPr>
          <w:rFonts w:ascii="Times New Roman" w:hAnsi="Times New Roman" w:cs="Times New Roman"/>
          <w:sz w:val="24"/>
          <w:szCs w:val="24"/>
        </w:rPr>
        <w:t xml:space="preserve"> publicznych</w:t>
      </w:r>
      <w:r w:rsidR="000E04F0" w:rsidRPr="00546D82">
        <w:rPr>
          <w:rFonts w:ascii="Times New Roman" w:hAnsi="Times New Roman" w:cs="Times New Roman"/>
          <w:sz w:val="24"/>
          <w:szCs w:val="24"/>
        </w:rPr>
        <w:t xml:space="preserve"> poprzedzających Istotną zmianę Wskaźnika referencyjnego,</w:t>
      </w:r>
    </w:p>
    <w:p w14:paraId="4DD75EB8" w14:textId="0BDAC8A5" w:rsidR="00E37C12" w:rsidRPr="00546D82" w:rsidRDefault="00E37C12" w:rsidP="00863CD2">
      <w:pPr>
        <w:pStyle w:val="Akapitzlist"/>
        <w:numPr>
          <w:ilvl w:val="1"/>
          <w:numId w:val="6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wdrożeniu </w:t>
      </w:r>
      <w:r w:rsidR="00B35D65" w:rsidRPr="00546D82">
        <w:rPr>
          <w:rFonts w:ascii="Times New Roman" w:hAnsi="Times New Roman" w:cs="Times New Roman"/>
          <w:sz w:val="24"/>
          <w:szCs w:val="24"/>
        </w:rPr>
        <w:t>I</w:t>
      </w:r>
      <w:r w:rsidRPr="00546D82">
        <w:rPr>
          <w:rFonts w:ascii="Times New Roman" w:hAnsi="Times New Roman" w:cs="Times New Roman"/>
          <w:sz w:val="24"/>
          <w:szCs w:val="24"/>
        </w:rPr>
        <w:t>stotnej zmiany</w:t>
      </w:r>
      <w:r w:rsidR="000E04F0" w:rsidRPr="00546D82">
        <w:rPr>
          <w:rFonts w:ascii="Times New Roman" w:hAnsi="Times New Roman" w:cs="Times New Roman"/>
          <w:sz w:val="24"/>
          <w:szCs w:val="24"/>
        </w:rPr>
        <w:t>, uwzględniając</w:t>
      </w:r>
      <w:r w:rsidRPr="00546D82">
        <w:rPr>
          <w:rFonts w:ascii="Times New Roman" w:hAnsi="Times New Roman" w:cs="Times New Roman"/>
          <w:sz w:val="24"/>
          <w:szCs w:val="24"/>
        </w:rPr>
        <w:t>:</w:t>
      </w:r>
    </w:p>
    <w:p w14:paraId="5A598B6A" w14:textId="31EF7464" w:rsidR="00E37C12" w:rsidRPr="00546D82" w:rsidRDefault="00E37C12" w:rsidP="00863CD2">
      <w:pPr>
        <w:pStyle w:val="Akapitzlist"/>
        <w:numPr>
          <w:ilvl w:val="2"/>
          <w:numId w:val="6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termin, od którego zmiana W</w:t>
      </w:r>
      <w:r w:rsidR="00B35D65" w:rsidRPr="00546D82">
        <w:rPr>
          <w:rFonts w:ascii="Times New Roman" w:hAnsi="Times New Roman" w:cs="Times New Roman"/>
          <w:sz w:val="24"/>
          <w:szCs w:val="24"/>
        </w:rPr>
        <w:t>skaźnika referencyjnego</w:t>
      </w:r>
      <w:r w:rsidRPr="00546D82">
        <w:rPr>
          <w:rFonts w:ascii="Times New Roman" w:hAnsi="Times New Roman" w:cs="Times New Roman"/>
          <w:sz w:val="24"/>
          <w:szCs w:val="24"/>
        </w:rPr>
        <w:t xml:space="preserve"> będzie </w:t>
      </w:r>
      <w:r w:rsidR="000E04F0" w:rsidRPr="00546D82">
        <w:rPr>
          <w:rFonts w:ascii="Times New Roman" w:hAnsi="Times New Roman" w:cs="Times New Roman"/>
          <w:sz w:val="24"/>
          <w:szCs w:val="24"/>
        </w:rPr>
        <w:t>obowiązywać</w:t>
      </w:r>
      <w:r w:rsidRPr="00546D82">
        <w:rPr>
          <w:rFonts w:ascii="Times New Roman" w:hAnsi="Times New Roman" w:cs="Times New Roman"/>
          <w:sz w:val="24"/>
          <w:szCs w:val="24"/>
        </w:rPr>
        <w:t>,</w:t>
      </w:r>
    </w:p>
    <w:p w14:paraId="384641CB" w14:textId="6911C789" w:rsidR="00E37C12" w:rsidRPr="00546D82" w:rsidRDefault="00E37C12" w:rsidP="00863CD2">
      <w:pPr>
        <w:pStyle w:val="Akapitzlist"/>
        <w:numPr>
          <w:ilvl w:val="2"/>
          <w:numId w:val="6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opis zakresu zmiany W</w:t>
      </w:r>
      <w:r w:rsidR="00B35D65" w:rsidRPr="00546D82">
        <w:rPr>
          <w:rFonts w:ascii="Times New Roman" w:hAnsi="Times New Roman" w:cs="Times New Roman"/>
          <w:sz w:val="24"/>
          <w:szCs w:val="24"/>
        </w:rPr>
        <w:t>skaźnika referencyjnego</w:t>
      </w:r>
      <w:r w:rsidRPr="00546D82">
        <w:rPr>
          <w:rFonts w:ascii="Times New Roman" w:hAnsi="Times New Roman" w:cs="Times New Roman"/>
          <w:sz w:val="24"/>
          <w:szCs w:val="24"/>
        </w:rPr>
        <w:t>,</w:t>
      </w:r>
    </w:p>
    <w:p w14:paraId="7A56CBE1" w14:textId="641E0214" w:rsidR="00E37C12" w:rsidRPr="00546D82" w:rsidRDefault="00E37C12" w:rsidP="00863CD2">
      <w:pPr>
        <w:pStyle w:val="Akapitzlist"/>
        <w:numPr>
          <w:ilvl w:val="2"/>
          <w:numId w:val="6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wysokość </w:t>
      </w:r>
      <w:r w:rsidR="00B35D65" w:rsidRPr="00546D82">
        <w:rPr>
          <w:rFonts w:ascii="Times New Roman" w:hAnsi="Times New Roman" w:cs="Times New Roman"/>
          <w:sz w:val="24"/>
          <w:szCs w:val="24"/>
        </w:rPr>
        <w:t>K</w:t>
      </w:r>
      <w:r w:rsidRPr="00546D82">
        <w:rPr>
          <w:rFonts w:ascii="Times New Roman" w:hAnsi="Times New Roman" w:cs="Times New Roman"/>
          <w:sz w:val="24"/>
          <w:szCs w:val="24"/>
        </w:rPr>
        <w:t xml:space="preserve">orekty, która po </w:t>
      </w:r>
      <w:r w:rsidR="000E04F0" w:rsidRPr="00546D82">
        <w:rPr>
          <w:rFonts w:ascii="Times New Roman" w:hAnsi="Times New Roman" w:cs="Times New Roman"/>
          <w:sz w:val="24"/>
          <w:szCs w:val="24"/>
        </w:rPr>
        <w:t xml:space="preserve">Istotnej </w:t>
      </w:r>
      <w:r w:rsidRPr="00546D82">
        <w:rPr>
          <w:rFonts w:ascii="Times New Roman" w:hAnsi="Times New Roman" w:cs="Times New Roman"/>
          <w:sz w:val="24"/>
          <w:szCs w:val="24"/>
        </w:rPr>
        <w:t>zmianie będzie uwzględniana w kalkulacji oprocentowania produktu,</w:t>
      </w:r>
    </w:p>
    <w:p w14:paraId="6ED86D59" w14:textId="19BF0BBB" w:rsidR="00E37C12" w:rsidRPr="00546D82" w:rsidRDefault="00E37C12" w:rsidP="00863CD2">
      <w:pPr>
        <w:pStyle w:val="Akapitzlist"/>
        <w:numPr>
          <w:ilvl w:val="2"/>
          <w:numId w:val="6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grupy (typy) produktów</w:t>
      </w:r>
      <w:r w:rsidR="000E04F0" w:rsidRPr="00546D82">
        <w:rPr>
          <w:rFonts w:ascii="Times New Roman" w:hAnsi="Times New Roman" w:cs="Times New Roman"/>
          <w:sz w:val="24"/>
          <w:szCs w:val="24"/>
        </w:rPr>
        <w:t>, których dotyczy</w:t>
      </w:r>
      <w:r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0E04F0" w:rsidRPr="00546D82">
        <w:rPr>
          <w:rFonts w:ascii="Times New Roman" w:hAnsi="Times New Roman" w:cs="Times New Roman"/>
          <w:sz w:val="24"/>
          <w:szCs w:val="24"/>
        </w:rPr>
        <w:t>Istotna zmiana</w:t>
      </w:r>
      <w:r w:rsidRPr="00546D82">
        <w:rPr>
          <w:rFonts w:ascii="Times New Roman" w:hAnsi="Times New Roman" w:cs="Times New Roman"/>
          <w:sz w:val="24"/>
          <w:szCs w:val="24"/>
        </w:rPr>
        <w:t>.</w:t>
      </w:r>
    </w:p>
    <w:p w14:paraId="7042CFDB" w14:textId="5EBB6543" w:rsidR="00B35D65" w:rsidRPr="00546D82" w:rsidRDefault="00B35D65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25554" w:rsidRPr="00546D82">
        <w:rPr>
          <w:rFonts w:ascii="Times New Roman" w:hAnsi="Times New Roman" w:cs="Times New Roman"/>
          <w:b/>
          <w:sz w:val="24"/>
          <w:szCs w:val="24"/>
        </w:rPr>
        <w:t>10</w:t>
      </w:r>
      <w:r w:rsidRPr="00546D82">
        <w:rPr>
          <w:rFonts w:ascii="Times New Roman" w:hAnsi="Times New Roman" w:cs="Times New Roman"/>
          <w:b/>
          <w:sz w:val="24"/>
          <w:szCs w:val="24"/>
        </w:rPr>
        <w:t>.</w:t>
      </w:r>
    </w:p>
    <w:p w14:paraId="4E2CED62" w14:textId="42E59098" w:rsidR="00B35D65" w:rsidRPr="00546D82" w:rsidRDefault="005F46F3" w:rsidP="00863CD2">
      <w:pPr>
        <w:pStyle w:val="Akapitzlist"/>
        <w:numPr>
          <w:ilvl w:val="0"/>
          <w:numId w:val="7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Bank</w:t>
      </w:r>
      <w:r w:rsidR="003011F5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B35D65" w:rsidRPr="00546D82">
        <w:rPr>
          <w:rFonts w:ascii="Times New Roman" w:hAnsi="Times New Roman" w:cs="Times New Roman"/>
          <w:sz w:val="24"/>
          <w:szCs w:val="24"/>
        </w:rPr>
        <w:t>zamieszcza na stronie internetowej Banku (</w:t>
      </w:r>
      <w:hyperlink r:id="rId10" w:history="1">
        <w:r w:rsidR="001A37A7" w:rsidRPr="002B68D9">
          <w:rPr>
            <w:rStyle w:val="Hipercze"/>
            <w:rFonts w:ascii="Times New Roman" w:hAnsi="Times New Roman" w:cs="Times New Roman"/>
            <w:sz w:val="24"/>
            <w:szCs w:val="24"/>
          </w:rPr>
          <w:t>www.bshajnowka.pl</w:t>
        </w:r>
      </w:hyperlink>
      <w:r w:rsidR="00B35D65" w:rsidRPr="00546D82">
        <w:rPr>
          <w:rFonts w:ascii="Times New Roman" w:hAnsi="Times New Roman" w:cs="Times New Roman"/>
          <w:sz w:val="24"/>
          <w:szCs w:val="24"/>
        </w:rPr>
        <w:t>)</w:t>
      </w:r>
      <w:r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B35D65" w:rsidRPr="00546D82">
        <w:rPr>
          <w:rFonts w:ascii="Times New Roman" w:hAnsi="Times New Roman" w:cs="Times New Roman"/>
          <w:sz w:val="24"/>
          <w:szCs w:val="24"/>
        </w:rPr>
        <w:t>informację</w:t>
      </w:r>
      <w:r w:rsidR="00734BEF" w:rsidRPr="00546D82">
        <w:rPr>
          <w:rFonts w:ascii="Times New Roman" w:hAnsi="Times New Roman" w:cs="Times New Roman"/>
          <w:sz w:val="24"/>
          <w:szCs w:val="24"/>
        </w:rPr>
        <w:t xml:space="preserve"> o</w:t>
      </w:r>
      <w:r w:rsidR="00B35D65" w:rsidRPr="00546D82">
        <w:rPr>
          <w:rFonts w:ascii="Times New Roman" w:hAnsi="Times New Roman" w:cs="Times New Roman"/>
          <w:sz w:val="24"/>
          <w:szCs w:val="24"/>
        </w:rPr>
        <w:t>:</w:t>
      </w:r>
    </w:p>
    <w:p w14:paraId="2C9BA6F0" w14:textId="2834E9B7" w:rsidR="00B35D65" w:rsidRPr="00546D82" w:rsidRDefault="00734BEF" w:rsidP="00863CD2">
      <w:pPr>
        <w:pStyle w:val="Akapitzlist"/>
        <w:numPr>
          <w:ilvl w:val="1"/>
          <w:numId w:val="7"/>
        </w:numPr>
        <w:spacing w:before="60"/>
        <w:ind w:left="851" w:hanging="44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prowadzonych przez Administratora konsultacjach publicznych poprzedzających zaprzestanie opracowywania Wskaźnika referencyjnego</w:t>
      </w:r>
      <w:r w:rsidR="00B35D65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6A6012F6" w14:textId="720F1244" w:rsidR="00B35D65" w:rsidRPr="00546D82" w:rsidRDefault="00B35D65" w:rsidP="00863CD2">
      <w:pPr>
        <w:pStyle w:val="Akapitzlist"/>
        <w:numPr>
          <w:ilvl w:val="1"/>
          <w:numId w:val="7"/>
        </w:numPr>
        <w:spacing w:before="60"/>
        <w:ind w:left="851" w:hanging="44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Wskaźniku alternatywnym, który będzie stosowany </w:t>
      </w:r>
      <w:r w:rsidR="0060261C" w:rsidRPr="00546D82">
        <w:rPr>
          <w:rFonts w:ascii="Times New Roman" w:hAnsi="Times New Roman" w:cs="Times New Roman"/>
          <w:sz w:val="24"/>
          <w:szCs w:val="24"/>
        </w:rPr>
        <w:t xml:space="preserve">przez Bank </w:t>
      </w:r>
      <w:r w:rsidRPr="00546D82">
        <w:rPr>
          <w:rFonts w:ascii="Times New Roman" w:hAnsi="Times New Roman" w:cs="Times New Roman"/>
          <w:sz w:val="24"/>
          <w:szCs w:val="24"/>
        </w:rPr>
        <w:t>w celu zastąpienia dotychczas obowiązującego Wskaźnika referencyjnego.</w:t>
      </w:r>
    </w:p>
    <w:p w14:paraId="5611DE18" w14:textId="1ECC46DF" w:rsidR="00B35D65" w:rsidRPr="00546D82" w:rsidRDefault="00B35D65" w:rsidP="00863CD2">
      <w:pPr>
        <w:pStyle w:val="Akapitzlist"/>
        <w:numPr>
          <w:ilvl w:val="0"/>
          <w:numId w:val="7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Informacja, o której mowa w ust. </w:t>
      </w:r>
      <w:r w:rsidR="004C747E" w:rsidRPr="00546D82">
        <w:rPr>
          <w:rFonts w:ascii="Times New Roman" w:hAnsi="Times New Roman" w:cs="Times New Roman"/>
          <w:sz w:val="24"/>
          <w:szCs w:val="24"/>
        </w:rPr>
        <w:t xml:space="preserve">1 pkt </w:t>
      </w:r>
      <w:r w:rsidR="00734BEF" w:rsidRPr="00546D82">
        <w:rPr>
          <w:rFonts w:ascii="Times New Roman" w:hAnsi="Times New Roman" w:cs="Times New Roman"/>
          <w:sz w:val="24"/>
          <w:szCs w:val="24"/>
        </w:rPr>
        <w:t>2</w:t>
      </w:r>
      <w:r w:rsidR="004C747E" w:rsidRPr="00546D82">
        <w:rPr>
          <w:rFonts w:ascii="Times New Roman" w:hAnsi="Times New Roman" w:cs="Times New Roman"/>
          <w:sz w:val="24"/>
          <w:szCs w:val="24"/>
        </w:rPr>
        <w:t>,</w:t>
      </w:r>
      <w:r w:rsidR="00734BEF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 xml:space="preserve">publikowana jest niezwłocznie po powzięciu </w:t>
      </w:r>
      <w:r w:rsidR="004C747E" w:rsidRPr="00546D82">
        <w:rPr>
          <w:rFonts w:ascii="Times New Roman" w:hAnsi="Times New Roman" w:cs="Times New Roman"/>
          <w:sz w:val="24"/>
          <w:szCs w:val="24"/>
        </w:rPr>
        <w:br/>
      </w:r>
      <w:r w:rsidRPr="00546D82">
        <w:rPr>
          <w:rFonts w:ascii="Times New Roman" w:hAnsi="Times New Roman" w:cs="Times New Roman"/>
          <w:sz w:val="24"/>
          <w:szCs w:val="24"/>
        </w:rPr>
        <w:t>i</w:t>
      </w:r>
      <w:r w:rsidR="004C747E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potwierdzeniu informacji o braku możliwości stosowania Wskaźnika referencyjnego, jednak nie później niż do dnia zaprzestania publikacji wskaźnika przez Administratora</w:t>
      </w:r>
      <w:r w:rsidR="00734BEF" w:rsidRPr="00546D82">
        <w:rPr>
          <w:rFonts w:ascii="Times New Roman" w:hAnsi="Times New Roman" w:cs="Times New Roman"/>
          <w:sz w:val="24"/>
          <w:szCs w:val="24"/>
        </w:rPr>
        <w:t xml:space="preserve"> i obejmuje</w:t>
      </w:r>
      <w:r w:rsidRPr="00546D8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E042F67" w14:textId="11F94A19" w:rsidR="00734BEF" w:rsidRPr="00546D82" w:rsidRDefault="00DF5E17" w:rsidP="00863CD2">
      <w:pPr>
        <w:pStyle w:val="Akapitzlist"/>
        <w:numPr>
          <w:ilvl w:val="2"/>
          <w:numId w:val="7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nazwę Wskaźnika alternatywnego;</w:t>
      </w:r>
    </w:p>
    <w:p w14:paraId="30C95569" w14:textId="68B5E271" w:rsidR="00734BEF" w:rsidRPr="00546D82" w:rsidRDefault="00B35D65" w:rsidP="00863CD2">
      <w:pPr>
        <w:pStyle w:val="Akapitzlist"/>
        <w:numPr>
          <w:ilvl w:val="2"/>
          <w:numId w:val="7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dane Administratora Wskaźnika alternatywnego, w tym adres strony internetowej Administratora, na której publikowane są infor</w:t>
      </w:r>
      <w:r w:rsidR="00DF5E17" w:rsidRPr="00546D82">
        <w:rPr>
          <w:rFonts w:ascii="Times New Roman" w:hAnsi="Times New Roman" w:cs="Times New Roman"/>
          <w:sz w:val="24"/>
          <w:szCs w:val="24"/>
        </w:rPr>
        <w:t>macje o Wskaźniku alternatywnym;</w:t>
      </w:r>
    </w:p>
    <w:p w14:paraId="7A17C82E" w14:textId="47DC5055" w:rsidR="00734BEF" w:rsidRPr="00546D82" w:rsidRDefault="00B35D65" w:rsidP="00863CD2">
      <w:pPr>
        <w:pStyle w:val="Akapitzlist"/>
        <w:numPr>
          <w:ilvl w:val="2"/>
          <w:numId w:val="7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grupy (typy) produktów objęte zmianą </w:t>
      </w:r>
      <w:r w:rsidR="006652ED" w:rsidRPr="00546D82">
        <w:rPr>
          <w:rFonts w:ascii="Times New Roman" w:hAnsi="Times New Roman" w:cs="Times New Roman"/>
          <w:sz w:val="24"/>
          <w:szCs w:val="24"/>
        </w:rPr>
        <w:t>W</w:t>
      </w:r>
      <w:r w:rsidRPr="00546D82">
        <w:rPr>
          <w:rFonts w:ascii="Times New Roman" w:hAnsi="Times New Roman" w:cs="Times New Roman"/>
          <w:sz w:val="24"/>
          <w:szCs w:val="24"/>
        </w:rPr>
        <w:t>skaźnika</w:t>
      </w:r>
      <w:r w:rsidR="006652ED" w:rsidRPr="00546D82">
        <w:rPr>
          <w:rFonts w:ascii="Times New Roman" w:hAnsi="Times New Roman" w:cs="Times New Roman"/>
          <w:sz w:val="24"/>
          <w:szCs w:val="24"/>
        </w:rPr>
        <w:t xml:space="preserve"> referencyjnego</w:t>
      </w:r>
      <w:r w:rsidR="00DF5E17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34FE4F4A" w14:textId="31A04460" w:rsidR="00734BEF" w:rsidRPr="00546D82" w:rsidRDefault="00B35D65" w:rsidP="00863CD2">
      <w:pPr>
        <w:pStyle w:val="Akapitzlist"/>
        <w:numPr>
          <w:ilvl w:val="2"/>
          <w:numId w:val="7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termin, od którego Wskaźnik alternatywny będzie miał zastosowanie do umów </w:t>
      </w:r>
      <w:r w:rsidR="00DF5E17" w:rsidRPr="00546D82">
        <w:rPr>
          <w:rFonts w:ascii="Times New Roman" w:hAnsi="Times New Roman" w:cs="Times New Roman"/>
          <w:sz w:val="24"/>
          <w:szCs w:val="24"/>
        </w:rPr>
        <w:t>z klientami;</w:t>
      </w:r>
    </w:p>
    <w:p w14:paraId="3190F0A9" w14:textId="267462D2" w:rsidR="00B35D65" w:rsidRPr="00546D82" w:rsidRDefault="00B35D65" w:rsidP="00863CD2">
      <w:pPr>
        <w:pStyle w:val="Akapitzlist"/>
        <w:numPr>
          <w:ilvl w:val="2"/>
          <w:numId w:val="7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uzasadnienie wyboru Wskaźnika alternatywnego.</w:t>
      </w:r>
    </w:p>
    <w:p w14:paraId="56CA7FD7" w14:textId="52536FDF" w:rsidR="00C60978" w:rsidRPr="00546D82" w:rsidRDefault="00C60978" w:rsidP="00C60978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Toc94023542"/>
      <w:r w:rsidRPr="00546D82">
        <w:rPr>
          <w:rFonts w:ascii="Times New Roman" w:hAnsi="Times New Roman" w:cs="Times New Roman"/>
          <w:b/>
          <w:sz w:val="24"/>
          <w:szCs w:val="24"/>
        </w:rPr>
        <w:t>§ 11.</w:t>
      </w:r>
    </w:p>
    <w:p w14:paraId="406FAC96" w14:textId="04965DEE" w:rsidR="00C60978" w:rsidRPr="00546D82" w:rsidRDefault="00C60978" w:rsidP="00C60978">
      <w:pPr>
        <w:spacing w:before="8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Informację o wskaźnikach stosowanych przez Bank, Bank udostępnia klientom w ramach zasobów strony internetowej Banku (</w:t>
      </w:r>
      <w:hyperlink r:id="rId11" w:history="1">
        <w:r w:rsidR="001A37A7" w:rsidRPr="002B68D9">
          <w:rPr>
            <w:rStyle w:val="Hipercze"/>
            <w:rFonts w:ascii="Times New Roman" w:hAnsi="Times New Roman" w:cs="Times New Roman"/>
            <w:sz w:val="24"/>
            <w:szCs w:val="24"/>
          </w:rPr>
          <w:t>www.bshajnowka.pl</w:t>
        </w:r>
      </w:hyperlink>
      <w:r w:rsidRPr="00546D82">
        <w:rPr>
          <w:rFonts w:ascii="Times New Roman" w:hAnsi="Times New Roman" w:cs="Times New Roman"/>
          <w:sz w:val="24"/>
          <w:szCs w:val="24"/>
        </w:rPr>
        <w:t>) lub poprzez wskazanie adresu strony internetowej właściwego Administratora.</w:t>
      </w:r>
    </w:p>
    <w:p w14:paraId="7C959192" w14:textId="46BF8630" w:rsidR="005F3CA7" w:rsidRPr="00546D82" w:rsidRDefault="005F3CA7" w:rsidP="00E91DCD">
      <w:pPr>
        <w:pStyle w:val="Nagwek1"/>
        <w:spacing w:before="480" w:after="120"/>
        <w:jc w:val="center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Rozdział </w:t>
      </w:r>
      <w:r w:rsidR="00C87365" w:rsidRPr="00546D82">
        <w:rPr>
          <w:rFonts w:ascii="Times New Roman" w:hAnsi="Times New Roman" w:cs="Times New Roman"/>
          <w:sz w:val="24"/>
          <w:szCs w:val="24"/>
        </w:rPr>
        <w:t>7</w:t>
      </w:r>
      <w:r w:rsidRPr="00546D82">
        <w:rPr>
          <w:rFonts w:ascii="Times New Roman" w:hAnsi="Times New Roman" w:cs="Times New Roman"/>
          <w:sz w:val="24"/>
          <w:szCs w:val="24"/>
        </w:rPr>
        <w:t>.</w:t>
      </w:r>
      <w:r w:rsidRPr="00546D82">
        <w:rPr>
          <w:rFonts w:ascii="Times New Roman" w:hAnsi="Times New Roman" w:cs="Times New Roman"/>
          <w:sz w:val="24"/>
          <w:szCs w:val="24"/>
        </w:rPr>
        <w:tab/>
        <w:t>Aktualizacja Planu</w:t>
      </w:r>
      <w:bookmarkEnd w:id="6"/>
    </w:p>
    <w:p w14:paraId="41777BD3" w14:textId="75309F3E" w:rsidR="0033774F" w:rsidRPr="00546D82" w:rsidRDefault="0033774F" w:rsidP="00B15F60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D8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35D65" w:rsidRPr="00546D82">
        <w:rPr>
          <w:rFonts w:ascii="Times New Roman" w:hAnsi="Times New Roman" w:cs="Times New Roman"/>
          <w:b/>
          <w:sz w:val="24"/>
          <w:szCs w:val="24"/>
        </w:rPr>
        <w:t>1</w:t>
      </w:r>
      <w:r w:rsidR="00C60978" w:rsidRPr="00546D82">
        <w:rPr>
          <w:rFonts w:ascii="Times New Roman" w:hAnsi="Times New Roman" w:cs="Times New Roman"/>
          <w:b/>
          <w:sz w:val="24"/>
          <w:szCs w:val="24"/>
        </w:rPr>
        <w:t>2</w:t>
      </w:r>
      <w:r w:rsidR="00E91DCD" w:rsidRPr="00546D82">
        <w:rPr>
          <w:rFonts w:ascii="Times New Roman" w:hAnsi="Times New Roman" w:cs="Times New Roman"/>
          <w:b/>
          <w:sz w:val="24"/>
          <w:szCs w:val="24"/>
        </w:rPr>
        <w:t>.</w:t>
      </w:r>
    </w:p>
    <w:p w14:paraId="1FD63056" w14:textId="77777777" w:rsidR="0033774F" w:rsidRPr="00546D82" w:rsidRDefault="0033774F" w:rsidP="00863CD2">
      <w:pPr>
        <w:pStyle w:val="Akapitzlist"/>
        <w:numPr>
          <w:ilvl w:val="0"/>
          <w:numId w:val="13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Plan podlega obligatoryjnej niezwłocznej aktualizacji w przypadku:</w:t>
      </w:r>
    </w:p>
    <w:p w14:paraId="77090F2F" w14:textId="3183F3F3" w:rsidR="0033774F" w:rsidRPr="00546D82" w:rsidRDefault="00597592" w:rsidP="00863CD2">
      <w:pPr>
        <w:pStyle w:val="Akapitzlist"/>
        <w:numPr>
          <w:ilvl w:val="0"/>
          <w:numId w:val="21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zastosowania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E91DCD" w:rsidRPr="00546D82">
        <w:rPr>
          <w:rFonts w:ascii="Times New Roman" w:hAnsi="Times New Roman" w:cs="Times New Roman"/>
          <w:sz w:val="24"/>
          <w:szCs w:val="24"/>
        </w:rPr>
        <w:t>nowego Wskaźnika referencyjnego</w:t>
      </w:r>
      <w:r w:rsidRPr="00546D82">
        <w:rPr>
          <w:rFonts w:ascii="Times New Roman" w:hAnsi="Times New Roman" w:cs="Times New Roman"/>
          <w:sz w:val="24"/>
          <w:szCs w:val="24"/>
        </w:rPr>
        <w:t xml:space="preserve"> w ofercie produktowej Banku</w:t>
      </w:r>
      <w:r w:rsidR="00E91DCD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319863E7" w14:textId="6643568F" w:rsidR="0033774F" w:rsidRPr="00546D82" w:rsidRDefault="0033774F" w:rsidP="00863CD2">
      <w:pPr>
        <w:pStyle w:val="Akapitzlist"/>
        <w:numPr>
          <w:ilvl w:val="0"/>
          <w:numId w:val="21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wydania przez </w:t>
      </w:r>
      <w:r w:rsidR="001A37A7">
        <w:rPr>
          <w:rFonts w:ascii="Times New Roman" w:hAnsi="Times New Roman" w:cs="Times New Roman"/>
          <w:sz w:val="24"/>
          <w:szCs w:val="24"/>
        </w:rPr>
        <w:t>K</w:t>
      </w:r>
      <w:r w:rsidR="00546D82" w:rsidRPr="00546D82">
        <w:rPr>
          <w:rFonts w:ascii="Times New Roman" w:hAnsi="Times New Roman" w:cs="Times New Roman"/>
          <w:sz w:val="24"/>
          <w:szCs w:val="24"/>
        </w:rPr>
        <w:t>A</w:t>
      </w:r>
      <w:r w:rsidR="001A37A7">
        <w:rPr>
          <w:rFonts w:ascii="Times New Roman" w:hAnsi="Times New Roman" w:cs="Times New Roman"/>
          <w:sz w:val="24"/>
          <w:szCs w:val="24"/>
        </w:rPr>
        <w:t>R</w:t>
      </w:r>
      <w:r w:rsidRPr="00546D82">
        <w:rPr>
          <w:rFonts w:ascii="Times New Roman" w:hAnsi="Times New Roman" w:cs="Times New Roman"/>
          <w:sz w:val="24"/>
          <w:szCs w:val="24"/>
        </w:rPr>
        <w:t xml:space="preserve"> opinii o zasadności wyzna</w:t>
      </w:r>
      <w:r w:rsidR="00E91DCD" w:rsidRPr="00546D82">
        <w:rPr>
          <w:rFonts w:ascii="Times New Roman" w:hAnsi="Times New Roman" w:cs="Times New Roman"/>
          <w:sz w:val="24"/>
          <w:szCs w:val="24"/>
        </w:rPr>
        <w:t>czenia Wskaźnika alternatywnego;</w:t>
      </w:r>
    </w:p>
    <w:p w14:paraId="3E3D6910" w14:textId="77777777" w:rsidR="0033774F" w:rsidRPr="00546D82" w:rsidRDefault="0033774F" w:rsidP="00863CD2">
      <w:pPr>
        <w:pStyle w:val="Akapitzlist"/>
        <w:numPr>
          <w:ilvl w:val="0"/>
          <w:numId w:val="21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zmiany przepisów prawa lub wymogów regulacyjnych wpływających na treść Planu.</w:t>
      </w:r>
    </w:p>
    <w:p w14:paraId="03D06471" w14:textId="13F76CCE" w:rsidR="00E91DCD" w:rsidRPr="00546D82" w:rsidRDefault="00546E39" w:rsidP="00863CD2">
      <w:pPr>
        <w:pStyle w:val="Akapitzlist"/>
        <w:numPr>
          <w:ilvl w:val="0"/>
          <w:numId w:val="13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Aktualizację Planu przygoto</w:t>
      </w:r>
      <w:r w:rsidR="0033774F" w:rsidRPr="00546D82">
        <w:rPr>
          <w:rFonts w:ascii="Times New Roman" w:hAnsi="Times New Roman" w:cs="Times New Roman"/>
          <w:sz w:val="24"/>
          <w:szCs w:val="24"/>
        </w:rPr>
        <w:t>w</w:t>
      </w:r>
      <w:r w:rsidRPr="00546D82">
        <w:rPr>
          <w:rFonts w:ascii="Times New Roman" w:hAnsi="Times New Roman" w:cs="Times New Roman"/>
          <w:sz w:val="24"/>
          <w:szCs w:val="24"/>
        </w:rPr>
        <w:t>uje</w:t>
      </w:r>
      <w:r w:rsidR="00546D82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1A37A7">
        <w:rPr>
          <w:rFonts w:ascii="Times New Roman" w:hAnsi="Times New Roman" w:cs="Times New Roman"/>
          <w:sz w:val="24"/>
          <w:szCs w:val="24"/>
        </w:rPr>
        <w:t>K</w:t>
      </w:r>
      <w:r w:rsidR="00546D82" w:rsidRPr="00546D82">
        <w:rPr>
          <w:rFonts w:ascii="Times New Roman" w:hAnsi="Times New Roman" w:cs="Times New Roman"/>
          <w:sz w:val="24"/>
          <w:szCs w:val="24"/>
        </w:rPr>
        <w:t>A</w:t>
      </w:r>
      <w:r w:rsidR="001A37A7">
        <w:rPr>
          <w:rFonts w:ascii="Times New Roman" w:hAnsi="Times New Roman" w:cs="Times New Roman"/>
          <w:sz w:val="24"/>
          <w:szCs w:val="24"/>
        </w:rPr>
        <w:t>R</w:t>
      </w:r>
      <w:r w:rsidR="003011F5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="0033774F" w:rsidRPr="00546D82">
        <w:rPr>
          <w:rFonts w:ascii="Times New Roman" w:hAnsi="Times New Roman" w:cs="Times New Roman"/>
          <w:sz w:val="24"/>
          <w:szCs w:val="24"/>
        </w:rPr>
        <w:t>z inicjatywy własnej lu</w:t>
      </w:r>
      <w:r w:rsidRPr="00546D82">
        <w:rPr>
          <w:rFonts w:ascii="Times New Roman" w:hAnsi="Times New Roman" w:cs="Times New Roman"/>
          <w:sz w:val="24"/>
          <w:szCs w:val="24"/>
        </w:rPr>
        <w:t>b z inicjatywy</w:t>
      </w:r>
      <w:r w:rsidR="00EC23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335">
        <w:rPr>
          <w:rFonts w:ascii="Times New Roman" w:hAnsi="Times New Roman" w:cs="Times New Roman"/>
          <w:sz w:val="24"/>
          <w:szCs w:val="24"/>
        </w:rPr>
        <w:t>SKiM</w:t>
      </w:r>
      <w:proofErr w:type="spellEnd"/>
      <w:r w:rsidRPr="00546D82">
        <w:rPr>
          <w:rFonts w:ascii="Times New Roman" w:hAnsi="Times New Roman" w:cs="Times New Roman"/>
          <w:sz w:val="24"/>
          <w:szCs w:val="24"/>
        </w:rPr>
        <w:t xml:space="preserve"> i przedkłada ją do </w:t>
      </w:r>
      <w:r w:rsidR="004B1B35" w:rsidRPr="00546D82">
        <w:rPr>
          <w:rFonts w:ascii="Times New Roman" w:hAnsi="Times New Roman" w:cs="Times New Roman"/>
          <w:sz w:val="24"/>
          <w:szCs w:val="24"/>
        </w:rPr>
        <w:t>przy</w:t>
      </w:r>
      <w:r w:rsidR="003011F5" w:rsidRPr="00546D82">
        <w:rPr>
          <w:rFonts w:ascii="Times New Roman" w:hAnsi="Times New Roman" w:cs="Times New Roman"/>
          <w:sz w:val="24"/>
          <w:szCs w:val="24"/>
        </w:rPr>
        <w:t>jęcia</w:t>
      </w:r>
      <w:r w:rsidRPr="00546D82">
        <w:rPr>
          <w:rFonts w:ascii="Times New Roman" w:hAnsi="Times New Roman" w:cs="Times New Roman"/>
          <w:sz w:val="24"/>
          <w:szCs w:val="24"/>
        </w:rPr>
        <w:t xml:space="preserve"> przez </w:t>
      </w:r>
      <w:r w:rsidR="003011F5" w:rsidRPr="00546D82">
        <w:rPr>
          <w:rFonts w:ascii="Times New Roman" w:hAnsi="Times New Roman" w:cs="Times New Roman"/>
          <w:sz w:val="24"/>
          <w:szCs w:val="24"/>
        </w:rPr>
        <w:t>Zarząd</w:t>
      </w:r>
      <w:r w:rsidRPr="00546D82">
        <w:rPr>
          <w:rFonts w:ascii="Times New Roman" w:hAnsi="Times New Roman" w:cs="Times New Roman"/>
          <w:sz w:val="24"/>
          <w:szCs w:val="24"/>
        </w:rPr>
        <w:t>.</w:t>
      </w:r>
    </w:p>
    <w:p w14:paraId="198BD90A" w14:textId="57723BC3" w:rsidR="0033774F" w:rsidRPr="00546D82" w:rsidRDefault="00546D82" w:rsidP="00863CD2">
      <w:pPr>
        <w:pStyle w:val="Akapitzlist"/>
        <w:numPr>
          <w:ilvl w:val="0"/>
          <w:numId w:val="13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lastRenderedPageBreak/>
        <w:t>Zarząd</w:t>
      </w:r>
      <w:r w:rsidR="00863CD2" w:rsidRPr="00546D82">
        <w:rPr>
          <w:rFonts w:ascii="Times New Roman" w:hAnsi="Times New Roman" w:cs="Times New Roman"/>
          <w:sz w:val="24"/>
          <w:szCs w:val="24"/>
        </w:rPr>
        <w:t xml:space="preserve"> jest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 odpowiedzialn</w:t>
      </w:r>
      <w:r w:rsidRPr="00546D82">
        <w:rPr>
          <w:rFonts w:ascii="Times New Roman" w:hAnsi="Times New Roman" w:cs="Times New Roman"/>
          <w:sz w:val="24"/>
          <w:szCs w:val="24"/>
        </w:rPr>
        <w:t>y</w:t>
      </w:r>
      <w:r w:rsidR="0033774F" w:rsidRPr="00546D82">
        <w:rPr>
          <w:rFonts w:ascii="Times New Roman" w:hAnsi="Times New Roman" w:cs="Times New Roman"/>
          <w:sz w:val="24"/>
          <w:szCs w:val="24"/>
        </w:rPr>
        <w:t xml:space="preserve"> za zapewnienie implementacji treści Planu w wzorcach umów stosowanych przez Bank oraz w umowach z klientami. </w:t>
      </w:r>
    </w:p>
    <w:p w14:paraId="5E454F9E" w14:textId="1FFF1C80" w:rsidR="00E91DCD" w:rsidRPr="00546D82" w:rsidRDefault="001A37A7" w:rsidP="00863CD2">
      <w:pPr>
        <w:pStyle w:val="Akapitzlist"/>
        <w:numPr>
          <w:ilvl w:val="0"/>
          <w:numId w:val="13"/>
        </w:numPr>
        <w:spacing w:before="6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46D82" w:rsidRPr="00546D8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</w:t>
      </w:r>
      <w:r w:rsidR="00E91DCD" w:rsidRPr="00546D82">
        <w:rPr>
          <w:rFonts w:ascii="Times New Roman" w:hAnsi="Times New Roman" w:cs="Times New Roman"/>
          <w:sz w:val="24"/>
          <w:szCs w:val="24"/>
        </w:rPr>
        <w:t>:</w:t>
      </w:r>
    </w:p>
    <w:p w14:paraId="4DF96700" w14:textId="125E3029" w:rsidR="0033774F" w:rsidRPr="00546D82" w:rsidRDefault="0033774F" w:rsidP="00863CD2">
      <w:pPr>
        <w:pStyle w:val="Akapitzlist"/>
        <w:numPr>
          <w:ilvl w:val="1"/>
          <w:numId w:val="13"/>
        </w:numPr>
        <w:spacing w:before="60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 xml:space="preserve">we współpracy z </w:t>
      </w:r>
      <w:proofErr w:type="spellStart"/>
      <w:r w:rsidR="00EC2335">
        <w:rPr>
          <w:rFonts w:ascii="Times New Roman" w:hAnsi="Times New Roman" w:cs="Times New Roman"/>
          <w:sz w:val="24"/>
          <w:szCs w:val="24"/>
        </w:rPr>
        <w:t>SKiM</w:t>
      </w:r>
      <w:proofErr w:type="spellEnd"/>
      <w:r w:rsidR="00863CD2" w:rsidRPr="00546D82">
        <w:rPr>
          <w:rFonts w:ascii="Times New Roman" w:hAnsi="Times New Roman" w:cs="Times New Roman"/>
          <w:sz w:val="24"/>
          <w:szCs w:val="24"/>
        </w:rPr>
        <w:t xml:space="preserve"> </w:t>
      </w:r>
      <w:r w:rsidRPr="00546D82">
        <w:rPr>
          <w:rFonts w:ascii="Times New Roman" w:hAnsi="Times New Roman" w:cs="Times New Roman"/>
          <w:sz w:val="24"/>
          <w:szCs w:val="24"/>
        </w:rPr>
        <w:t>dokonuje co najmniej raz w roku przeglądu Planu, uwzględniając bieżącą sytuację w zakresie stosowania Rozporządzenia BMR ora</w:t>
      </w:r>
      <w:r w:rsidR="00E91DCD" w:rsidRPr="00546D82">
        <w:rPr>
          <w:rFonts w:ascii="Times New Roman" w:hAnsi="Times New Roman" w:cs="Times New Roman"/>
          <w:sz w:val="24"/>
          <w:szCs w:val="24"/>
        </w:rPr>
        <w:t>z otoczenie prawne i regulacyjne, a i</w:t>
      </w:r>
      <w:r w:rsidRPr="00546D82">
        <w:rPr>
          <w:rFonts w:ascii="Times New Roman" w:hAnsi="Times New Roman" w:cs="Times New Roman"/>
          <w:sz w:val="24"/>
          <w:szCs w:val="24"/>
        </w:rPr>
        <w:t>nformację o wyniku przegl</w:t>
      </w:r>
      <w:r w:rsidR="00F411A7" w:rsidRPr="00546D82">
        <w:rPr>
          <w:rFonts w:ascii="Times New Roman" w:hAnsi="Times New Roman" w:cs="Times New Roman"/>
          <w:sz w:val="24"/>
          <w:szCs w:val="24"/>
        </w:rPr>
        <w:t>ądu Planu</w:t>
      </w:r>
      <w:r w:rsidR="001A37A7">
        <w:rPr>
          <w:rFonts w:ascii="Times New Roman" w:hAnsi="Times New Roman" w:cs="Times New Roman"/>
          <w:sz w:val="24"/>
          <w:szCs w:val="24"/>
        </w:rPr>
        <w:t xml:space="preserve"> </w:t>
      </w:r>
      <w:r w:rsidR="00F411A7" w:rsidRPr="00546D82">
        <w:rPr>
          <w:rFonts w:ascii="Times New Roman" w:hAnsi="Times New Roman" w:cs="Times New Roman"/>
          <w:sz w:val="24"/>
          <w:szCs w:val="24"/>
        </w:rPr>
        <w:t xml:space="preserve">przekazuje </w:t>
      </w:r>
      <w:r w:rsidR="00863CD2" w:rsidRPr="00546D82">
        <w:rPr>
          <w:rFonts w:ascii="Times New Roman" w:hAnsi="Times New Roman" w:cs="Times New Roman"/>
          <w:sz w:val="24"/>
          <w:szCs w:val="24"/>
        </w:rPr>
        <w:t>Zarządowi</w:t>
      </w:r>
      <w:r w:rsidR="00F411A7" w:rsidRPr="00546D82">
        <w:rPr>
          <w:rFonts w:ascii="Times New Roman" w:hAnsi="Times New Roman" w:cs="Times New Roman"/>
          <w:sz w:val="24"/>
          <w:szCs w:val="24"/>
        </w:rPr>
        <w:t>;</w:t>
      </w:r>
    </w:p>
    <w:p w14:paraId="6A6F8871" w14:textId="1BD0A63D" w:rsidR="0055612A" w:rsidRPr="00546D82" w:rsidRDefault="007573CE" w:rsidP="00863CD2">
      <w:pPr>
        <w:pStyle w:val="Akapitzlist"/>
        <w:numPr>
          <w:ilvl w:val="1"/>
          <w:numId w:val="13"/>
        </w:numPr>
        <w:spacing w:before="60"/>
        <w:ind w:left="850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6D82">
        <w:rPr>
          <w:rFonts w:ascii="Times New Roman" w:hAnsi="Times New Roman" w:cs="Times New Roman"/>
          <w:sz w:val="24"/>
          <w:szCs w:val="24"/>
        </w:rPr>
        <w:t>przedstawia Zarządowi coroczną informację o Wskaźnikach referencyjnych stosowanych przez Bank oraz Wskaźnikach referencyjnych dostępnych i stosowanych na rynku.</w:t>
      </w:r>
    </w:p>
    <w:sectPr w:rsidR="0055612A" w:rsidRPr="00546D82" w:rsidSect="00DF5E17">
      <w:footerReference w:type="default" r:id="rId12"/>
      <w:footerReference w:type="first" r:id="rId13"/>
      <w:pgSz w:w="11906" w:h="16838" w:code="9"/>
      <w:pgMar w:top="1134" w:right="1134" w:bottom="1134" w:left="1134" w:header="680" w:footer="56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B97B" w14:textId="77777777" w:rsidR="00E3068B" w:rsidRDefault="00E3068B">
      <w:r>
        <w:separator/>
      </w:r>
    </w:p>
  </w:endnote>
  <w:endnote w:type="continuationSeparator" w:id="0">
    <w:p w14:paraId="6366CDFC" w14:textId="77777777" w:rsidR="00E3068B" w:rsidRDefault="00E3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KO Bank Polsk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43432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6FC47AB" w14:textId="2F16FFB9" w:rsidR="00DF5E17" w:rsidRPr="00DF5E17" w:rsidRDefault="00DF5E17" w:rsidP="00DF5E17">
        <w:pPr>
          <w:pStyle w:val="Stopka"/>
          <w:jc w:val="right"/>
          <w:rPr>
            <w:sz w:val="18"/>
            <w:szCs w:val="18"/>
          </w:rPr>
        </w:pPr>
        <w:r w:rsidRPr="00DF5E17">
          <w:rPr>
            <w:sz w:val="18"/>
            <w:szCs w:val="18"/>
          </w:rPr>
          <w:fldChar w:fldCharType="begin"/>
        </w:r>
        <w:r w:rsidRPr="00DF5E17">
          <w:rPr>
            <w:sz w:val="18"/>
            <w:szCs w:val="18"/>
          </w:rPr>
          <w:instrText>PAGE   \* MERGEFORMAT</w:instrText>
        </w:r>
        <w:r w:rsidRPr="00DF5E17">
          <w:rPr>
            <w:sz w:val="18"/>
            <w:szCs w:val="18"/>
          </w:rPr>
          <w:fldChar w:fldCharType="separate"/>
        </w:r>
        <w:r w:rsidR="004B1B35">
          <w:rPr>
            <w:noProof/>
            <w:sz w:val="18"/>
            <w:szCs w:val="18"/>
          </w:rPr>
          <w:t>9</w:t>
        </w:r>
        <w:r w:rsidRPr="00DF5E17"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479A2" w14:textId="5641C6BF" w:rsidR="009F7BAC" w:rsidRPr="008E3F2D" w:rsidRDefault="009F7BAC" w:rsidP="008E3F2D">
    <w:pPr>
      <w:pStyle w:val="Stopka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30B3" w14:textId="77777777" w:rsidR="00E3068B" w:rsidRDefault="00E3068B">
      <w:r>
        <w:separator/>
      </w:r>
    </w:p>
  </w:footnote>
  <w:footnote w:type="continuationSeparator" w:id="0">
    <w:p w14:paraId="078AAE18" w14:textId="77777777" w:rsidR="00E3068B" w:rsidRDefault="00E30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0E2"/>
    <w:multiLevelType w:val="hybridMultilevel"/>
    <w:tmpl w:val="4FDC17D4"/>
    <w:lvl w:ilvl="0" w:tplc="9CA62F44">
      <w:start w:val="1"/>
      <w:numFmt w:val="lowerLetter"/>
      <w:lvlText w:val="%1)"/>
      <w:lvlJc w:val="left"/>
      <w:pPr>
        <w:ind w:left="180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533150"/>
    <w:multiLevelType w:val="hybridMultilevel"/>
    <w:tmpl w:val="1F94EC1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0DEF2ADC"/>
    <w:multiLevelType w:val="hybridMultilevel"/>
    <w:tmpl w:val="F2CC0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357F3"/>
    <w:multiLevelType w:val="hybridMultilevel"/>
    <w:tmpl w:val="4D52D2E2"/>
    <w:lvl w:ilvl="0" w:tplc="A27868A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A2FBB"/>
    <w:multiLevelType w:val="hybridMultilevel"/>
    <w:tmpl w:val="3C88BDEC"/>
    <w:lvl w:ilvl="0" w:tplc="454E310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7B8657E"/>
    <w:multiLevelType w:val="hybridMultilevel"/>
    <w:tmpl w:val="5E427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727A3"/>
    <w:multiLevelType w:val="hybridMultilevel"/>
    <w:tmpl w:val="91BAF35A"/>
    <w:lvl w:ilvl="0" w:tplc="BCC08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B4BD7"/>
    <w:multiLevelType w:val="hybridMultilevel"/>
    <w:tmpl w:val="FD8EB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A160B"/>
    <w:multiLevelType w:val="hybridMultilevel"/>
    <w:tmpl w:val="C6C88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90A16"/>
    <w:multiLevelType w:val="hybridMultilevel"/>
    <w:tmpl w:val="58064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841AC"/>
    <w:multiLevelType w:val="hybridMultilevel"/>
    <w:tmpl w:val="6BE81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D602D"/>
    <w:multiLevelType w:val="hybridMultilevel"/>
    <w:tmpl w:val="F3A219FE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58D4118D"/>
    <w:multiLevelType w:val="hybridMultilevel"/>
    <w:tmpl w:val="F1CCAE68"/>
    <w:lvl w:ilvl="0" w:tplc="04150011">
      <w:start w:val="1"/>
      <w:numFmt w:val="decimal"/>
      <w:lvlText w:val="%1)"/>
      <w:lvlJc w:val="left"/>
      <w:pPr>
        <w:ind w:left="17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3" w15:restartNumberingAfterBreak="0">
    <w:nsid w:val="5AD73905"/>
    <w:multiLevelType w:val="hybridMultilevel"/>
    <w:tmpl w:val="D7020FC6"/>
    <w:lvl w:ilvl="0" w:tplc="7CC046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373F9"/>
    <w:multiLevelType w:val="hybridMultilevel"/>
    <w:tmpl w:val="1D50F38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7">
      <w:start w:val="1"/>
      <w:numFmt w:val="lowerLetter"/>
      <w:lvlText w:val="%3)"/>
      <w:lvlJc w:val="lef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B07405"/>
    <w:multiLevelType w:val="hybridMultilevel"/>
    <w:tmpl w:val="4AC84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7414C0CA">
      <w:start w:val="1"/>
      <w:numFmt w:val="decimal"/>
      <w:lvlText w:val="%3)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BD2247"/>
    <w:multiLevelType w:val="hybridMultilevel"/>
    <w:tmpl w:val="62246E32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264E4F"/>
    <w:multiLevelType w:val="hybridMultilevel"/>
    <w:tmpl w:val="CD56FEE8"/>
    <w:lvl w:ilvl="0" w:tplc="04150011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870E3C"/>
    <w:multiLevelType w:val="hybridMultilevel"/>
    <w:tmpl w:val="B94C4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422F9"/>
    <w:multiLevelType w:val="hybridMultilevel"/>
    <w:tmpl w:val="9B34B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E5E1B"/>
    <w:multiLevelType w:val="hybridMultilevel"/>
    <w:tmpl w:val="EC7269B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454DB5"/>
    <w:multiLevelType w:val="hybridMultilevel"/>
    <w:tmpl w:val="E7A42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9F2432"/>
    <w:multiLevelType w:val="hybridMultilevel"/>
    <w:tmpl w:val="369EB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6465C"/>
    <w:multiLevelType w:val="hybridMultilevel"/>
    <w:tmpl w:val="E132BC0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33717481">
    <w:abstractNumId w:val="21"/>
  </w:num>
  <w:num w:numId="2" w16cid:durableId="1053625080">
    <w:abstractNumId w:val="10"/>
  </w:num>
  <w:num w:numId="3" w16cid:durableId="1711301863">
    <w:abstractNumId w:val="13"/>
  </w:num>
  <w:num w:numId="4" w16cid:durableId="1601261430">
    <w:abstractNumId w:val="23"/>
  </w:num>
  <w:num w:numId="5" w16cid:durableId="2108191256">
    <w:abstractNumId w:val="14"/>
  </w:num>
  <w:num w:numId="6" w16cid:durableId="628366343">
    <w:abstractNumId w:val="8"/>
  </w:num>
  <w:num w:numId="7" w16cid:durableId="959263553">
    <w:abstractNumId w:val="15"/>
  </w:num>
  <w:num w:numId="8" w16cid:durableId="1943879227">
    <w:abstractNumId w:val="2"/>
  </w:num>
  <w:num w:numId="9" w16cid:durableId="206912829">
    <w:abstractNumId w:val="19"/>
  </w:num>
  <w:num w:numId="10" w16cid:durableId="911814619">
    <w:abstractNumId w:val="7"/>
  </w:num>
  <w:num w:numId="11" w16cid:durableId="1998339760">
    <w:abstractNumId w:val="22"/>
  </w:num>
  <w:num w:numId="12" w16cid:durableId="66344144">
    <w:abstractNumId w:val="5"/>
  </w:num>
  <w:num w:numId="13" w16cid:durableId="2003242609">
    <w:abstractNumId w:val="18"/>
  </w:num>
  <w:num w:numId="14" w16cid:durableId="1331325340">
    <w:abstractNumId w:val="11"/>
  </w:num>
  <w:num w:numId="15" w16cid:durableId="604772870">
    <w:abstractNumId w:val="3"/>
  </w:num>
  <w:num w:numId="16" w16cid:durableId="574239940">
    <w:abstractNumId w:val="0"/>
  </w:num>
  <w:num w:numId="17" w16cid:durableId="1348293198">
    <w:abstractNumId w:val="16"/>
  </w:num>
  <w:num w:numId="18" w16cid:durableId="72819923">
    <w:abstractNumId w:val="17"/>
  </w:num>
  <w:num w:numId="19" w16cid:durableId="728696943">
    <w:abstractNumId w:val="1"/>
  </w:num>
  <w:num w:numId="20" w16cid:durableId="972829309">
    <w:abstractNumId w:val="12"/>
  </w:num>
  <w:num w:numId="21" w16cid:durableId="985820863">
    <w:abstractNumId w:val="20"/>
  </w:num>
  <w:num w:numId="22" w16cid:durableId="1164322300">
    <w:abstractNumId w:val="9"/>
  </w:num>
  <w:num w:numId="23" w16cid:durableId="1802338256">
    <w:abstractNumId w:val="4"/>
  </w:num>
  <w:num w:numId="24" w16cid:durableId="1040859215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pl-PL" w:vendorID="12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 style="mso-position-horizontal-relative:char;mso-position-vertical-relative:line" strokecolor="#009a77">
      <v:stroke color="#009a77"/>
      <o:colormru v:ext="edit" colors="#009a77,lim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CC"/>
    <w:rsid w:val="000004AD"/>
    <w:rsid w:val="00000653"/>
    <w:rsid w:val="00004F2A"/>
    <w:rsid w:val="0000685D"/>
    <w:rsid w:val="00006907"/>
    <w:rsid w:val="00010ACD"/>
    <w:rsid w:val="00010B5E"/>
    <w:rsid w:val="00010E96"/>
    <w:rsid w:val="000110FC"/>
    <w:rsid w:val="00012A6E"/>
    <w:rsid w:val="00014E10"/>
    <w:rsid w:val="0001528C"/>
    <w:rsid w:val="00017005"/>
    <w:rsid w:val="00021AB7"/>
    <w:rsid w:val="00021D73"/>
    <w:rsid w:val="000225B2"/>
    <w:rsid w:val="0002360A"/>
    <w:rsid w:val="00023931"/>
    <w:rsid w:val="00025C8C"/>
    <w:rsid w:val="00025CF1"/>
    <w:rsid w:val="000267C6"/>
    <w:rsid w:val="00026AAE"/>
    <w:rsid w:val="000305DB"/>
    <w:rsid w:val="00030863"/>
    <w:rsid w:val="0003102D"/>
    <w:rsid w:val="0003115F"/>
    <w:rsid w:val="0003182D"/>
    <w:rsid w:val="00031C75"/>
    <w:rsid w:val="000321E0"/>
    <w:rsid w:val="00032A42"/>
    <w:rsid w:val="000333A0"/>
    <w:rsid w:val="00034840"/>
    <w:rsid w:val="00034F2F"/>
    <w:rsid w:val="00036482"/>
    <w:rsid w:val="000369AF"/>
    <w:rsid w:val="00036CEB"/>
    <w:rsid w:val="000372DC"/>
    <w:rsid w:val="00037932"/>
    <w:rsid w:val="0004012A"/>
    <w:rsid w:val="00040F66"/>
    <w:rsid w:val="000426D2"/>
    <w:rsid w:val="000432D1"/>
    <w:rsid w:val="000445DC"/>
    <w:rsid w:val="0004481D"/>
    <w:rsid w:val="00047303"/>
    <w:rsid w:val="0004762F"/>
    <w:rsid w:val="0005119A"/>
    <w:rsid w:val="00052078"/>
    <w:rsid w:val="000520C5"/>
    <w:rsid w:val="00052D3E"/>
    <w:rsid w:val="00053108"/>
    <w:rsid w:val="00053C23"/>
    <w:rsid w:val="000559EE"/>
    <w:rsid w:val="00055F50"/>
    <w:rsid w:val="0005684F"/>
    <w:rsid w:val="000600A6"/>
    <w:rsid w:val="00060FB5"/>
    <w:rsid w:val="000613B5"/>
    <w:rsid w:val="00061B03"/>
    <w:rsid w:val="00061E44"/>
    <w:rsid w:val="00064AFC"/>
    <w:rsid w:val="00064F49"/>
    <w:rsid w:val="00065F4E"/>
    <w:rsid w:val="00066BEA"/>
    <w:rsid w:val="000717EA"/>
    <w:rsid w:val="00071A12"/>
    <w:rsid w:val="00071D41"/>
    <w:rsid w:val="00072C9C"/>
    <w:rsid w:val="00073041"/>
    <w:rsid w:val="0007467D"/>
    <w:rsid w:val="0007788C"/>
    <w:rsid w:val="00077E42"/>
    <w:rsid w:val="000842D1"/>
    <w:rsid w:val="0008591B"/>
    <w:rsid w:val="00085ED2"/>
    <w:rsid w:val="00086170"/>
    <w:rsid w:val="00086A43"/>
    <w:rsid w:val="00087920"/>
    <w:rsid w:val="00091A30"/>
    <w:rsid w:val="00091CF0"/>
    <w:rsid w:val="000925DB"/>
    <w:rsid w:val="00092A2F"/>
    <w:rsid w:val="000934A9"/>
    <w:rsid w:val="000956C3"/>
    <w:rsid w:val="00096A9E"/>
    <w:rsid w:val="0009701E"/>
    <w:rsid w:val="00097275"/>
    <w:rsid w:val="000A0275"/>
    <w:rsid w:val="000A10C1"/>
    <w:rsid w:val="000A25B2"/>
    <w:rsid w:val="000A3513"/>
    <w:rsid w:val="000A5D71"/>
    <w:rsid w:val="000B0E4A"/>
    <w:rsid w:val="000B18D0"/>
    <w:rsid w:val="000B27F0"/>
    <w:rsid w:val="000B2878"/>
    <w:rsid w:val="000B3503"/>
    <w:rsid w:val="000B53CA"/>
    <w:rsid w:val="000B779D"/>
    <w:rsid w:val="000B77CF"/>
    <w:rsid w:val="000B7901"/>
    <w:rsid w:val="000C15D3"/>
    <w:rsid w:val="000C3B9B"/>
    <w:rsid w:val="000C4BD2"/>
    <w:rsid w:val="000C5337"/>
    <w:rsid w:val="000C59F7"/>
    <w:rsid w:val="000C6592"/>
    <w:rsid w:val="000C672D"/>
    <w:rsid w:val="000C7927"/>
    <w:rsid w:val="000D0ADE"/>
    <w:rsid w:val="000D238D"/>
    <w:rsid w:val="000D2422"/>
    <w:rsid w:val="000D288B"/>
    <w:rsid w:val="000D2F0B"/>
    <w:rsid w:val="000D333D"/>
    <w:rsid w:val="000D3A14"/>
    <w:rsid w:val="000D4DE8"/>
    <w:rsid w:val="000D5186"/>
    <w:rsid w:val="000E0113"/>
    <w:rsid w:val="000E04F0"/>
    <w:rsid w:val="000E0C4E"/>
    <w:rsid w:val="000E0E09"/>
    <w:rsid w:val="000E27C4"/>
    <w:rsid w:val="000E4902"/>
    <w:rsid w:val="000E51A6"/>
    <w:rsid w:val="000E57D2"/>
    <w:rsid w:val="000E5C84"/>
    <w:rsid w:val="000E5F7B"/>
    <w:rsid w:val="000E6AAF"/>
    <w:rsid w:val="000E72F5"/>
    <w:rsid w:val="000E7429"/>
    <w:rsid w:val="000E7C20"/>
    <w:rsid w:val="000E7E7A"/>
    <w:rsid w:val="000E7FD6"/>
    <w:rsid w:val="000F04D8"/>
    <w:rsid w:val="000F1407"/>
    <w:rsid w:val="000F1CCE"/>
    <w:rsid w:val="000F2A6D"/>
    <w:rsid w:val="000F5C21"/>
    <w:rsid w:val="000F5C26"/>
    <w:rsid w:val="00101092"/>
    <w:rsid w:val="00101248"/>
    <w:rsid w:val="00101317"/>
    <w:rsid w:val="001013D6"/>
    <w:rsid w:val="00101766"/>
    <w:rsid w:val="00101852"/>
    <w:rsid w:val="0010197C"/>
    <w:rsid w:val="00103212"/>
    <w:rsid w:val="001041EE"/>
    <w:rsid w:val="00105702"/>
    <w:rsid w:val="00105A72"/>
    <w:rsid w:val="00105B5D"/>
    <w:rsid w:val="001074EC"/>
    <w:rsid w:val="00107CBA"/>
    <w:rsid w:val="0011024D"/>
    <w:rsid w:val="00111560"/>
    <w:rsid w:val="001117BC"/>
    <w:rsid w:val="00111E51"/>
    <w:rsid w:val="00112101"/>
    <w:rsid w:val="0011249E"/>
    <w:rsid w:val="00114095"/>
    <w:rsid w:val="00115C8E"/>
    <w:rsid w:val="00116447"/>
    <w:rsid w:val="001164A2"/>
    <w:rsid w:val="00117498"/>
    <w:rsid w:val="0012181F"/>
    <w:rsid w:val="00122186"/>
    <w:rsid w:val="001222F1"/>
    <w:rsid w:val="001235A0"/>
    <w:rsid w:val="00123F97"/>
    <w:rsid w:val="001249F8"/>
    <w:rsid w:val="0012532B"/>
    <w:rsid w:val="00125554"/>
    <w:rsid w:val="001263A5"/>
    <w:rsid w:val="00126DEF"/>
    <w:rsid w:val="001274E8"/>
    <w:rsid w:val="00127AF0"/>
    <w:rsid w:val="00127CF8"/>
    <w:rsid w:val="00130459"/>
    <w:rsid w:val="00130838"/>
    <w:rsid w:val="00130BCF"/>
    <w:rsid w:val="001310B6"/>
    <w:rsid w:val="00131BFE"/>
    <w:rsid w:val="0013336B"/>
    <w:rsid w:val="00133554"/>
    <w:rsid w:val="00133E3B"/>
    <w:rsid w:val="0013480A"/>
    <w:rsid w:val="00136039"/>
    <w:rsid w:val="001365BB"/>
    <w:rsid w:val="00140D7D"/>
    <w:rsid w:val="00142A57"/>
    <w:rsid w:val="00142B37"/>
    <w:rsid w:val="00142C05"/>
    <w:rsid w:val="00143332"/>
    <w:rsid w:val="0014440B"/>
    <w:rsid w:val="00144EAC"/>
    <w:rsid w:val="001452EE"/>
    <w:rsid w:val="00150778"/>
    <w:rsid w:val="001509DD"/>
    <w:rsid w:val="001510E2"/>
    <w:rsid w:val="00153019"/>
    <w:rsid w:val="00153616"/>
    <w:rsid w:val="00153C5E"/>
    <w:rsid w:val="0015463A"/>
    <w:rsid w:val="0015490A"/>
    <w:rsid w:val="00155136"/>
    <w:rsid w:val="00156922"/>
    <w:rsid w:val="00157B40"/>
    <w:rsid w:val="00160023"/>
    <w:rsid w:val="00161CF2"/>
    <w:rsid w:val="0016276E"/>
    <w:rsid w:val="00163123"/>
    <w:rsid w:val="00163C32"/>
    <w:rsid w:val="001654B7"/>
    <w:rsid w:val="00167DE2"/>
    <w:rsid w:val="0017037B"/>
    <w:rsid w:val="0017473C"/>
    <w:rsid w:val="00174B3C"/>
    <w:rsid w:val="0017600E"/>
    <w:rsid w:val="00176791"/>
    <w:rsid w:val="0017713D"/>
    <w:rsid w:val="00182D9F"/>
    <w:rsid w:val="0018548E"/>
    <w:rsid w:val="00185AAA"/>
    <w:rsid w:val="0019060D"/>
    <w:rsid w:val="001919C0"/>
    <w:rsid w:val="00191B4C"/>
    <w:rsid w:val="00193DF6"/>
    <w:rsid w:val="00194614"/>
    <w:rsid w:val="00194BE1"/>
    <w:rsid w:val="0019544C"/>
    <w:rsid w:val="001960C6"/>
    <w:rsid w:val="00196C72"/>
    <w:rsid w:val="00196D63"/>
    <w:rsid w:val="00197658"/>
    <w:rsid w:val="001A049E"/>
    <w:rsid w:val="001A153A"/>
    <w:rsid w:val="001A1D94"/>
    <w:rsid w:val="001A37A7"/>
    <w:rsid w:val="001A4918"/>
    <w:rsid w:val="001A4B0D"/>
    <w:rsid w:val="001A5943"/>
    <w:rsid w:val="001A73E8"/>
    <w:rsid w:val="001B091A"/>
    <w:rsid w:val="001B0F2C"/>
    <w:rsid w:val="001B36C3"/>
    <w:rsid w:val="001B3E2C"/>
    <w:rsid w:val="001B402D"/>
    <w:rsid w:val="001B5E5C"/>
    <w:rsid w:val="001B5F79"/>
    <w:rsid w:val="001B6153"/>
    <w:rsid w:val="001B63B5"/>
    <w:rsid w:val="001B65C3"/>
    <w:rsid w:val="001C014A"/>
    <w:rsid w:val="001C1F71"/>
    <w:rsid w:val="001C2E11"/>
    <w:rsid w:val="001C35FA"/>
    <w:rsid w:val="001C4C40"/>
    <w:rsid w:val="001C4FCD"/>
    <w:rsid w:val="001C5281"/>
    <w:rsid w:val="001C6AA9"/>
    <w:rsid w:val="001C7E59"/>
    <w:rsid w:val="001D05EA"/>
    <w:rsid w:val="001D0E2C"/>
    <w:rsid w:val="001D1BE1"/>
    <w:rsid w:val="001D2CFD"/>
    <w:rsid w:val="001D4147"/>
    <w:rsid w:val="001D41BB"/>
    <w:rsid w:val="001D5B8E"/>
    <w:rsid w:val="001D64CF"/>
    <w:rsid w:val="001D6678"/>
    <w:rsid w:val="001D70AB"/>
    <w:rsid w:val="001D7BC1"/>
    <w:rsid w:val="001D7FED"/>
    <w:rsid w:val="001E131D"/>
    <w:rsid w:val="001E14E2"/>
    <w:rsid w:val="001E1896"/>
    <w:rsid w:val="001E38D6"/>
    <w:rsid w:val="001E4D45"/>
    <w:rsid w:val="001E5920"/>
    <w:rsid w:val="001E6CEC"/>
    <w:rsid w:val="001F04E2"/>
    <w:rsid w:val="001F1DBE"/>
    <w:rsid w:val="001F2863"/>
    <w:rsid w:val="001F2F37"/>
    <w:rsid w:val="001F3A8F"/>
    <w:rsid w:val="001F3D1E"/>
    <w:rsid w:val="001F3D2F"/>
    <w:rsid w:val="001F4E49"/>
    <w:rsid w:val="001F7537"/>
    <w:rsid w:val="001F7DE9"/>
    <w:rsid w:val="00201B14"/>
    <w:rsid w:val="00202DA4"/>
    <w:rsid w:val="00204FEE"/>
    <w:rsid w:val="00207ED8"/>
    <w:rsid w:val="00210069"/>
    <w:rsid w:val="00210641"/>
    <w:rsid w:val="00210BF0"/>
    <w:rsid w:val="0021243D"/>
    <w:rsid w:val="0021261D"/>
    <w:rsid w:val="00212698"/>
    <w:rsid w:val="0021388A"/>
    <w:rsid w:val="00214863"/>
    <w:rsid w:val="00214EAB"/>
    <w:rsid w:val="002165AE"/>
    <w:rsid w:val="002165E1"/>
    <w:rsid w:val="0021791A"/>
    <w:rsid w:val="00220146"/>
    <w:rsid w:val="00221363"/>
    <w:rsid w:val="002219A9"/>
    <w:rsid w:val="0022250B"/>
    <w:rsid w:val="002227C1"/>
    <w:rsid w:val="002227CE"/>
    <w:rsid w:val="00222981"/>
    <w:rsid w:val="00223BD2"/>
    <w:rsid w:val="00224803"/>
    <w:rsid w:val="002279CA"/>
    <w:rsid w:val="00227BE5"/>
    <w:rsid w:val="002300D8"/>
    <w:rsid w:val="002313EB"/>
    <w:rsid w:val="002336E3"/>
    <w:rsid w:val="00234A2E"/>
    <w:rsid w:val="00235D45"/>
    <w:rsid w:val="00236D33"/>
    <w:rsid w:val="00237193"/>
    <w:rsid w:val="00237441"/>
    <w:rsid w:val="002376BC"/>
    <w:rsid w:val="002376CB"/>
    <w:rsid w:val="00237F53"/>
    <w:rsid w:val="002404BB"/>
    <w:rsid w:val="002428BE"/>
    <w:rsid w:val="00247003"/>
    <w:rsid w:val="00251029"/>
    <w:rsid w:val="0025233A"/>
    <w:rsid w:val="0025267E"/>
    <w:rsid w:val="00253957"/>
    <w:rsid w:val="00254643"/>
    <w:rsid w:val="00254977"/>
    <w:rsid w:val="00254B6D"/>
    <w:rsid w:val="00255669"/>
    <w:rsid w:val="00256091"/>
    <w:rsid w:val="00260F60"/>
    <w:rsid w:val="00261EAA"/>
    <w:rsid w:val="00264246"/>
    <w:rsid w:val="002660ED"/>
    <w:rsid w:val="0026712F"/>
    <w:rsid w:val="00270FFC"/>
    <w:rsid w:val="00272B9B"/>
    <w:rsid w:val="0027457C"/>
    <w:rsid w:val="0027638C"/>
    <w:rsid w:val="00276BFE"/>
    <w:rsid w:val="0028027C"/>
    <w:rsid w:val="00280A16"/>
    <w:rsid w:val="002811D9"/>
    <w:rsid w:val="00282AAD"/>
    <w:rsid w:val="002844C7"/>
    <w:rsid w:val="00284C5B"/>
    <w:rsid w:val="002853DA"/>
    <w:rsid w:val="002864A4"/>
    <w:rsid w:val="00287238"/>
    <w:rsid w:val="002873E0"/>
    <w:rsid w:val="00290890"/>
    <w:rsid w:val="00290EA3"/>
    <w:rsid w:val="002910DE"/>
    <w:rsid w:val="00292064"/>
    <w:rsid w:val="0029288A"/>
    <w:rsid w:val="0029386D"/>
    <w:rsid w:val="002938B4"/>
    <w:rsid w:val="002947A6"/>
    <w:rsid w:val="00294950"/>
    <w:rsid w:val="00294BF8"/>
    <w:rsid w:val="00294E8E"/>
    <w:rsid w:val="00294F4C"/>
    <w:rsid w:val="002955B4"/>
    <w:rsid w:val="002958E1"/>
    <w:rsid w:val="00295A56"/>
    <w:rsid w:val="00296DE9"/>
    <w:rsid w:val="002977DB"/>
    <w:rsid w:val="002A0AD2"/>
    <w:rsid w:val="002A1312"/>
    <w:rsid w:val="002A307B"/>
    <w:rsid w:val="002A33C9"/>
    <w:rsid w:val="002A3E7B"/>
    <w:rsid w:val="002A3FA0"/>
    <w:rsid w:val="002A4AF8"/>
    <w:rsid w:val="002A5B09"/>
    <w:rsid w:val="002A6810"/>
    <w:rsid w:val="002A7F3A"/>
    <w:rsid w:val="002B0360"/>
    <w:rsid w:val="002B2B8E"/>
    <w:rsid w:val="002B3535"/>
    <w:rsid w:val="002B4AE9"/>
    <w:rsid w:val="002B5426"/>
    <w:rsid w:val="002B5925"/>
    <w:rsid w:val="002B6822"/>
    <w:rsid w:val="002B6ED2"/>
    <w:rsid w:val="002C04C0"/>
    <w:rsid w:val="002C0668"/>
    <w:rsid w:val="002C077B"/>
    <w:rsid w:val="002C16F6"/>
    <w:rsid w:val="002C1FB7"/>
    <w:rsid w:val="002C45C9"/>
    <w:rsid w:val="002C55DF"/>
    <w:rsid w:val="002C568A"/>
    <w:rsid w:val="002C67E0"/>
    <w:rsid w:val="002C69F8"/>
    <w:rsid w:val="002C6F21"/>
    <w:rsid w:val="002C7724"/>
    <w:rsid w:val="002C7F44"/>
    <w:rsid w:val="002D0843"/>
    <w:rsid w:val="002D183E"/>
    <w:rsid w:val="002D1AD8"/>
    <w:rsid w:val="002D2EC5"/>
    <w:rsid w:val="002D343C"/>
    <w:rsid w:val="002D3617"/>
    <w:rsid w:val="002D3D33"/>
    <w:rsid w:val="002D434D"/>
    <w:rsid w:val="002D490D"/>
    <w:rsid w:val="002D5046"/>
    <w:rsid w:val="002D61D2"/>
    <w:rsid w:val="002D648D"/>
    <w:rsid w:val="002D67FC"/>
    <w:rsid w:val="002D7C0F"/>
    <w:rsid w:val="002E3542"/>
    <w:rsid w:val="002E44CE"/>
    <w:rsid w:val="002E4F83"/>
    <w:rsid w:val="002E69EF"/>
    <w:rsid w:val="002E6B2F"/>
    <w:rsid w:val="002E6C8D"/>
    <w:rsid w:val="002E6FA4"/>
    <w:rsid w:val="002F1180"/>
    <w:rsid w:val="002F23D2"/>
    <w:rsid w:val="002F27E7"/>
    <w:rsid w:val="002F41FC"/>
    <w:rsid w:val="002F69EF"/>
    <w:rsid w:val="002F6DAC"/>
    <w:rsid w:val="003002D6"/>
    <w:rsid w:val="003011F5"/>
    <w:rsid w:val="00301928"/>
    <w:rsid w:val="00301A6D"/>
    <w:rsid w:val="003026E0"/>
    <w:rsid w:val="0030306A"/>
    <w:rsid w:val="00303BA9"/>
    <w:rsid w:val="00303CAD"/>
    <w:rsid w:val="0030448A"/>
    <w:rsid w:val="00304542"/>
    <w:rsid w:val="00304BBE"/>
    <w:rsid w:val="00305213"/>
    <w:rsid w:val="00305B0B"/>
    <w:rsid w:val="00306097"/>
    <w:rsid w:val="0030664D"/>
    <w:rsid w:val="00306734"/>
    <w:rsid w:val="0030708E"/>
    <w:rsid w:val="00307D07"/>
    <w:rsid w:val="0031154E"/>
    <w:rsid w:val="00311F0E"/>
    <w:rsid w:val="003134E9"/>
    <w:rsid w:val="00314331"/>
    <w:rsid w:val="0031445A"/>
    <w:rsid w:val="00315109"/>
    <w:rsid w:val="0031653E"/>
    <w:rsid w:val="003168A1"/>
    <w:rsid w:val="00320628"/>
    <w:rsid w:val="003208F7"/>
    <w:rsid w:val="00321047"/>
    <w:rsid w:val="00321A21"/>
    <w:rsid w:val="00322050"/>
    <w:rsid w:val="00324615"/>
    <w:rsid w:val="00324631"/>
    <w:rsid w:val="0032471E"/>
    <w:rsid w:val="00324BD2"/>
    <w:rsid w:val="00327172"/>
    <w:rsid w:val="00331701"/>
    <w:rsid w:val="0033210C"/>
    <w:rsid w:val="003326BE"/>
    <w:rsid w:val="00335631"/>
    <w:rsid w:val="003366E4"/>
    <w:rsid w:val="00336C63"/>
    <w:rsid w:val="0033774F"/>
    <w:rsid w:val="00340878"/>
    <w:rsid w:val="00340C2C"/>
    <w:rsid w:val="003417FE"/>
    <w:rsid w:val="00341CA8"/>
    <w:rsid w:val="00341E3F"/>
    <w:rsid w:val="00342668"/>
    <w:rsid w:val="00342809"/>
    <w:rsid w:val="00342972"/>
    <w:rsid w:val="00342A52"/>
    <w:rsid w:val="00342A56"/>
    <w:rsid w:val="00342E90"/>
    <w:rsid w:val="003436B0"/>
    <w:rsid w:val="00344482"/>
    <w:rsid w:val="00344961"/>
    <w:rsid w:val="00344C81"/>
    <w:rsid w:val="00344CCD"/>
    <w:rsid w:val="003453D4"/>
    <w:rsid w:val="003466CE"/>
    <w:rsid w:val="00347584"/>
    <w:rsid w:val="003477D6"/>
    <w:rsid w:val="0035150C"/>
    <w:rsid w:val="00352A67"/>
    <w:rsid w:val="00352C0F"/>
    <w:rsid w:val="0036109E"/>
    <w:rsid w:val="0036128E"/>
    <w:rsid w:val="00361D87"/>
    <w:rsid w:val="00362D19"/>
    <w:rsid w:val="00364AC8"/>
    <w:rsid w:val="00364E5B"/>
    <w:rsid w:val="0036552B"/>
    <w:rsid w:val="003657CC"/>
    <w:rsid w:val="0036599C"/>
    <w:rsid w:val="00365E48"/>
    <w:rsid w:val="003662A3"/>
    <w:rsid w:val="00366BA0"/>
    <w:rsid w:val="0037040E"/>
    <w:rsid w:val="00370411"/>
    <w:rsid w:val="00371E44"/>
    <w:rsid w:val="00371E5E"/>
    <w:rsid w:val="0037593F"/>
    <w:rsid w:val="003765DB"/>
    <w:rsid w:val="00377BDE"/>
    <w:rsid w:val="00377F42"/>
    <w:rsid w:val="0038372C"/>
    <w:rsid w:val="003842C3"/>
    <w:rsid w:val="003850C7"/>
    <w:rsid w:val="00387474"/>
    <w:rsid w:val="0038753B"/>
    <w:rsid w:val="00387AB6"/>
    <w:rsid w:val="003919E3"/>
    <w:rsid w:val="00392048"/>
    <w:rsid w:val="003929D0"/>
    <w:rsid w:val="003933E7"/>
    <w:rsid w:val="00395A12"/>
    <w:rsid w:val="003963A5"/>
    <w:rsid w:val="003964CF"/>
    <w:rsid w:val="00396C74"/>
    <w:rsid w:val="00396C88"/>
    <w:rsid w:val="00397238"/>
    <w:rsid w:val="003A08CF"/>
    <w:rsid w:val="003A4B03"/>
    <w:rsid w:val="003A4BC3"/>
    <w:rsid w:val="003A4FC7"/>
    <w:rsid w:val="003A54BD"/>
    <w:rsid w:val="003B2F34"/>
    <w:rsid w:val="003B59D4"/>
    <w:rsid w:val="003B5AA5"/>
    <w:rsid w:val="003B654C"/>
    <w:rsid w:val="003B7BF2"/>
    <w:rsid w:val="003C199F"/>
    <w:rsid w:val="003C28AA"/>
    <w:rsid w:val="003C30ED"/>
    <w:rsid w:val="003C3232"/>
    <w:rsid w:val="003C3F0D"/>
    <w:rsid w:val="003C3FA9"/>
    <w:rsid w:val="003C52C8"/>
    <w:rsid w:val="003C5641"/>
    <w:rsid w:val="003C5B2F"/>
    <w:rsid w:val="003C61E6"/>
    <w:rsid w:val="003D0120"/>
    <w:rsid w:val="003D1832"/>
    <w:rsid w:val="003D1F4E"/>
    <w:rsid w:val="003D226A"/>
    <w:rsid w:val="003D4873"/>
    <w:rsid w:val="003D4954"/>
    <w:rsid w:val="003D6334"/>
    <w:rsid w:val="003D71FE"/>
    <w:rsid w:val="003D796A"/>
    <w:rsid w:val="003D7E75"/>
    <w:rsid w:val="003E042B"/>
    <w:rsid w:val="003E09D5"/>
    <w:rsid w:val="003E0ABC"/>
    <w:rsid w:val="003E0C0B"/>
    <w:rsid w:val="003E18E2"/>
    <w:rsid w:val="003E226D"/>
    <w:rsid w:val="003E2491"/>
    <w:rsid w:val="003E2EE2"/>
    <w:rsid w:val="003E336E"/>
    <w:rsid w:val="003E407F"/>
    <w:rsid w:val="003E4B19"/>
    <w:rsid w:val="003E4B2F"/>
    <w:rsid w:val="003E5D69"/>
    <w:rsid w:val="003E5F6D"/>
    <w:rsid w:val="003E6F81"/>
    <w:rsid w:val="003F59BB"/>
    <w:rsid w:val="003F5DB7"/>
    <w:rsid w:val="003F6445"/>
    <w:rsid w:val="003F7F79"/>
    <w:rsid w:val="004000D0"/>
    <w:rsid w:val="0040079C"/>
    <w:rsid w:val="00400EA0"/>
    <w:rsid w:val="00400FE7"/>
    <w:rsid w:val="004027DF"/>
    <w:rsid w:val="00403760"/>
    <w:rsid w:val="0040496C"/>
    <w:rsid w:val="00405612"/>
    <w:rsid w:val="00406AEF"/>
    <w:rsid w:val="00406E31"/>
    <w:rsid w:val="00407334"/>
    <w:rsid w:val="00407F42"/>
    <w:rsid w:val="0041045D"/>
    <w:rsid w:val="004113E5"/>
    <w:rsid w:val="00411F87"/>
    <w:rsid w:val="00412326"/>
    <w:rsid w:val="00412832"/>
    <w:rsid w:val="004168D1"/>
    <w:rsid w:val="0041728E"/>
    <w:rsid w:val="00421FF9"/>
    <w:rsid w:val="004225A6"/>
    <w:rsid w:val="00423295"/>
    <w:rsid w:val="004232F7"/>
    <w:rsid w:val="00427A98"/>
    <w:rsid w:val="0043054C"/>
    <w:rsid w:val="004316FC"/>
    <w:rsid w:val="0043186C"/>
    <w:rsid w:val="004323E6"/>
    <w:rsid w:val="004326AD"/>
    <w:rsid w:val="00433152"/>
    <w:rsid w:val="00435544"/>
    <w:rsid w:val="00436148"/>
    <w:rsid w:val="00437FD9"/>
    <w:rsid w:val="00440953"/>
    <w:rsid w:val="00441056"/>
    <w:rsid w:val="00443185"/>
    <w:rsid w:val="00444386"/>
    <w:rsid w:val="00444EDB"/>
    <w:rsid w:val="0044507D"/>
    <w:rsid w:val="0044618D"/>
    <w:rsid w:val="0044670B"/>
    <w:rsid w:val="00446CA9"/>
    <w:rsid w:val="00451850"/>
    <w:rsid w:val="004526D6"/>
    <w:rsid w:val="00453A2F"/>
    <w:rsid w:val="004549D8"/>
    <w:rsid w:val="00456624"/>
    <w:rsid w:val="00456EAB"/>
    <w:rsid w:val="00457298"/>
    <w:rsid w:val="00460811"/>
    <w:rsid w:val="00460DD6"/>
    <w:rsid w:val="004622CA"/>
    <w:rsid w:val="004624F5"/>
    <w:rsid w:val="004628E9"/>
    <w:rsid w:val="00464AFA"/>
    <w:rsid w:val="00466CEE"/>
    <w:rsid w:val="004704C3"/>
    <w:rsid w:val="00471A91"/>
    <w:rsid w:val="004724FA"/>
    <w:rsid w:val="00472580"/>
    <w:rsid w:val="00473072"/>
    <w:rsid w:val="004738AC"/>
    <w:rsid w:val="004760E0"/>
    <w:rsid w:val="004762F3"/>
    <w:rsid w:val="004770D5"/>
    <w:rsid w:val="00477565"/>
    <w:rsid w:val="00481FC4"/>
    <w:rsid w:val="004823CB"/>
    <w:rsid w:val="00483187"/>
    <w:rsid w:val="0048362E"/>
    <w:rsid w:val="0048412C"/>
    <w:rsid w:val="00484484"/>
    <w:rsid w:val="00484A3A"/>
    <w:rsid w:val="00486993"/>
    <w:rsid w:val="00486CCD"/>
    <w:rsid w:val="0048714F"/>
    <w:rsid w:val="00490346"/>
    <w:rsid w:val="00490BA2"/>
    <w:rsid w:val="00496080"/>
    <w:rsid w:val="00496324"/>
    <w:rsid w:val="00496B8D"/>
    <w:rsid w:val="004A0536"/>
    <w:rsid w:val="004A0F56"/>
    <w:rsid w:val="004A1682"/>
    <w:rsid w:val="004A1D15"/>
    <w:rsid w:val="004A4AF0"/>
    <w:rsid w:val="004A6185"/>
    <w:rsid w:val="004A6628"/>
    <w:rsid w:val="004A715B"/>
    <w:rsid w:val="004A767E"/>
    <w:rsid w:val="004A7F44"/>
    <w:rsid w:val="004B1B35"/>
    <w:rsid w:val="004B28CF"/>
    <w:rsid w:val="004B3623"/>
    <w:rsid w:val="004B3657"/>
    <w:rsid w:val="004B3673"/>
    <w:rsid w:val="004B407C"/>
    <w:rsid w:val="004B5240"/>
    <w:rsid w:val="004B58E2"/>
    <w:rsid w:val="004B7289"/>
    <w:rsid w:val="004B7418"/>
    <w:rsid w:val="004B7F2C"/>
    <w:rsid w:val="004C043C"/>
    <w:rsid w:val="004C0CD6"/>
    <w:rsid w:val="004C2165"/>
    <w:rsid w:val="004C4117"/>
    <w:rsid w:val="004C4383"/>
    <w:rsid w:val="004C7448"/>
    <w:rsid w:val="004C747E"/>
    <w:rsid w:val="004D01D7"/>
    <w:rsid w:val="004D0DB5"/>
    <w:rsid w:val="004D553C"/>
    <w:rsid w:val="004D55ED"/>
    <w:rsid w:val="004D5E94"/>
    <w:rsid w:val="004D6153"/>
    <w:rsid w:val="004D7B60"/>
    <w:rsid w:val="004E02E4"/>
    <w:rsid w:val="004E033A"/>
    <w:rsid w:val="004E2CD1"/>
    <w:rsid w:val="004E4A1C"/>
    <w:rsid w:val="004E5BFF"/>
    <w:rsid w:val="004E5ECB"/>
    <w:rsid w:val="004F0D58"/>
    <w:rsid w:val="004F1F6D"/>
    <w:rsid w:val="004F20E3"/>
    <w:rsid w:val="004F2267"/>
    <w:rsid w:val="004F2697"/>
    <w:rsid w:val="004F4385"/>
    <w:rsid w:val="004F47C3"/>
    <w:rsid w:val="004F533B"/>
    <w:rsid w:val="004F56BA"/>
    <w:rsid w:val="004F6AEB"/>
    <w:rsid w:val="004F6D80"/>
    <w:rsid w:val="004F757B"/>
    <w:rsid w:val="005003E3"/>
    <w:rsid w:val="00502303"/>
    <w:rsid w:val="0050272C"/>
    <w:rsid w:val="00503732"/>
    <w:rsid w:val="0050394B"/>
    <w:rsid w:val="005055F7"/>
    <w:rsid w:val="00511E35"/>
    <w:rsid w:val="0051461E"/>
    <w:rsid w:val="00516BAE"/>
    <w:rsid w:val="00520352"/>
    <w:rsid w:val="0052074C"/>
    <w:rsid w:val="005233AF"/>
    <w:rsid w:val="00523DF6"/>
    <w:rsid w:val="00525D33"/>
    <w:rsid w:val="00526972"/>
    <w:rsid w:val="00526A76"/>
    <w:rsid w:val="0052713A"/>
    <w:rsid w:val="00527588"/>
    <w:rsid w:val="005315A2"/>
    <w:rsid w:val="0053248D"/>
    <w:rsid w:val="00532F97"/>
    <w:rsid w:val="00533054"/>
    <w:rsid w:val="0053355D"/>
    <w:rsid w:val="0053653A"/>
    <w:rsid w:val="00536C01"/>
    <w:rsid w:val="005374ED"/>
    <w:rsid w:val="005404E2"/>
    <w:rsid w:val="005416F3"/>
    <w:rsid w:val="00543064"/>
    <w:rsid w:val="005433EB"/>
    <w:rsid w:val="00544C40"/>
    <w:rsid w:val="005452E4"/>
    <w:rsid w:val="00546AE0"/>
    <w:rsid w:val="00546B2C"/>
    <w:rsid w:val="00546D82"/>
    <w:rsid w:val="00546E39"/>
    <w:rsid w:val="005472DB"/>
    <w:rsid w:val="00547E36"/>
    <w:rsid w:val="00551129"/>
    <w:rsid w:val="00552E7E"/>
    <w:rsid w:val="005532F5"/>
    <w:rsid w:val="00553B48"/>
    <w:rsid w:val="00555D4F"/>
    <w:rsid w:val="0055612A"/>
    <w:rsid w:val="00557193"/>
    <w:rsid w:val="00560D59"/>
    <w:rsid w:val="0056149F"/>
    <w:rsid w:val="005631B1"/>
    <w:rsid w:val="005632F9"/>
    <w:rsid w:val="0056494D"/>
    <w:rsid w:val="00564AB8"/>
    <w:rsid w:val="005664DB"/>
    <w:rsid w:val="00566EBA"/>
    <w:rsid w:val="00566FB9"/>
    <w:rsid w:val="00570548"/>
    <w:rsid w:val="0057084C"/>
    <w:rsid w:val="00571CB6"/>
    <w:rsid w:val="00572B0F"/>
    <w:rsid w:val="00573622"/>
    <w:rsid w:val="00574565"/>
    <w:rsid w:val="0057555B"/>
    <w:rsid w:val="005760E5"/>
    <w:rsid w:val="00576356"/>
    <w:rsid w:val="00577278"/>
    <w:rsid w:val="00582E51"/>
    <w:rsid w:val="00584D8D"/>
    <w:rsid w:val="00585EE5"/>
    <w:rsid w:val="00585FA5"/>
    <w:rsid w:val="00586484"/>
    <w:rsid w:val="00586489"/>
    <w:rsid w:val="00586960"/>
    <w:rsid w:val="005877F1"/>
    <w:rsid w:val="005902B7"/>
    <w:rsid w:val="00590304"/>
    <w:rsid w:val="0059078B"/>
    <w:rsid w:val="00590DD3"/>
    <w:rsid w:val="00591348"/>
    <w:rsid w:val="00591CA0"/>
    <w:rsid w:val="00591D25"/>
    <w:rsid w:val="00591DB9"/>
    <w:rsid w:val="0059241E"/>
    <w:rsid w:val="005939CA"/>
    <w:rsid w:val="0059507A"/>
    <w:rsid w:val="005965E9"/>
    <w:rsid w:val="00597592"/>
    <w:rsid w:val="005977F8"/>
    <w:rsid w:val="00597BAB"/>
    <w:rsid w:val="005A0227"/>
    <w:rsid w:val="005A1056"/>
    <w:rsid w:val="005A47BC"/>
    <w:rsid w:val="005A49DE"/>
    <w:rsid w:val="005A58C6"/>
    <w:rsid w:val="005A7024"/>
    <w:rsid w:val="005B0A37"/>
    <w:rsid w:val="005B17E1"/>
    <w:rsid w:val="005B18BF"/>
    <w:rsid w:val="005B1DBD"/>
    <w:rsid w:val="005B2B76"/>
    <w:rsid w:val="005B3CAF"/>
    <w:rsid w:val="005B4906"/>
    <w:rsid w:val="005B4AF5"/>
    <w:rsid w:val="005B5262"/>
    <w:rsid w:val="005B5464"/>
    <w:rsid w:val="005B6D24"/>
    <w:rsid w:val="005B6D33"/>
    <w:rsid w:val="005B7A2D"/>
    <w:rsid w:val="005C461E"/>
    <w:rsid w:val="005C485B"/>
    <w:rsid w:val="005C4D5F"/>
    <w:rsid w:val="005C52C6"/>
    <w:rsid w:val="005C58AF"/>
    <w:rsid w:val="005C5AE1"/>
    <w:rsid w:val="005C647B"/>
    <w:rsid w:val="005C6531"/>
    <w:rsid w:val="005C6A27"/>
    <w:rsid w:val="005C793B"/>
    <w:rsid w:val="005D0CBD"/>
    <w:rsid w:val="005D101C"/>
    <w:rsid w:val="005D153D"/>
    <w:rsid w:val="005D3E72"/>
    <w:rsid w:val="005D41DF"/>
    <w:rsid w:val="005D42FA"/>
    <w:rsid w:val="005D64DA"/>
    <w:rsid w:val="005D69E3"/>
    <w:rsid w:val="005D73DD"/>
    <w:rsid w:val="005D785E"/>
    <w:rsid w:val="005E0857"/>
    <w:rsid w:val="005E1436"/>
    <w:rsid w:val="005E2206"/>
    <w:rsid w:val="005E6E5E"/>
    <w:rsid w:val="005E7E5A"/>
    <w:rsid w:val="005E7F80"/>
    <w:rsid w:val="005F2E4C"/>
    <w:rsid w:val="005F3CA7"/>
    <w:rsid w:val="005F46F3"/>
    <w:rsid w:val="005F6C0E"/>
    <w:rsid w:val="006003FB"/>
    <w:rsid w:val="006007CD"/>
    <w:rsid w:val="00600B97"/>
    <w:rsid w:val="006014C2"/>
    <w:rsid w:val="00601A8A"/>
    <w:rsid w:val="0060261C"/>
    <w:rsid w:val="00602C33"/>
    <w:rsid w:val="006033C8"/>
    <w:rsid w:val="00604A79"/>
    <w:rsid w:val="00605B1D"/>
    <w:rsid w:val="0060789C"/>
    <w:rsid w:val="00610097"/>
    <w:rsid w:val="00610498"/>
    <w:rsid w:val="00610E23"/>
    <w:rsid w:val="006112C6"/>
    <w:rsid w:val="00611853"/>
    <w:rsid w:val="006119FE"/>
    <w:rsid w:val="00613025"/>
    <w:rsid w:val="0061396E"/>
    <w:rsid w:val="00614415"/>
    <w:rsid w:val="00616159"/>
    <w:rsid w:val="0061776D"/>
    <w:rsid w:val="006200C4"/>
    <w:rsid w:val="00620198"/>
    <w:rsid w:val="00620CAB"/>
    <w:rsid w:val="00621E4E"/>
    <w:rsid w:val="006223E9"/>
    <w:rsid w:val="006225E2"/>
    <w:rsid w:val="00622668"/>
    <w:rsid w:val="00622AD7"/>
    <w:rsid w:val="00623132"/>
    <w:rsid w:val="006240A0"/>
    <w:rsid w:val="006253BC"/>
    <w:rsid w:val="00625E1E"/>
    <w:rsid w:val="0062641C"/>
    <w:rsid w:val="0062690F"/>
    <w:rsid w:val="00626CB1"/>
    <w:rsid w:val="00626CC4"/>
    <w:rsid w:val="00627ACC"/>
    <w:rsid w:val="00627F3C"/>
    <w:rsid w:val="00630707"/>
    <w:rsid w:val="00630E90"/>
    <w:rsid w:val="006314F1"/>
    <w:rsid w:val="0063295F"/>
    <w:rsid w:val="00632C8D"/>
    <w:rsid w:val="00633336"/>
    <w:rsid w:val="006337D0"/>
    <w:rsid w:val="00635CE1"/>
    <w:rsid w:val="0063610B"/>
    <w:rsid w:val="00637710"/>
    <w:rsid w:val="00640B6D"/>
    <w:rsid w:val="00642002"/>
    <w:rsid w:val="00643967"/>
    <w:rsid w:val="00643A07"/>
    <w:rsid w:val="00646BD8"/>
    <w:rsid w:val="006475C6"/>
    <w:rsid w:val="0065037C"/>
    <w:rsid w:val="006506E0"/>
    <w:rsid w:val="0065080A"/>
    <w:rsid w:val="00651412"/>
    <w:rsid w:val="006529E1"/>
    <w:rsid w:val="00652C11"/>
    <w:rsid w:val="0065366B"/>
    <w:rsid w:val="00654737"/>
    <w:rsid w:val="00654C58"/>
    <w:rsid w:val="00655C8A"/>
    <w:rsid w:val="006561B8"/>
    <w:rsid w:val="00661789"/>
    <w:rsid w:val="00662956"/>
    <w:rsid w:val="006635B8"/>
    <w:rsid w:val="00663F91"/>
    <w:rsid w:val="006652ED"/>
    <w:rsid w:val="006657EB"/>
    <w:rsid w:val="00667DE1"/>
    <w:rsid w:val="00670976"/>
    <w:rsid w:val="00671B1A"/>
    <w:rsid w:val="006745BD"/>
    <w:rsid w:val="00674A76"/>
    <w:rsid w:val="006752DC"/>
    <w:rsid w:val="006753F1"/>
    <w:rsid w:val="00675439"/>
    <w:rsid w:val="00675DE5"/>
    <w:rsid w:val="00681B68"/>
    <w:rsid w:val="00682AB7"/>
    <w:rsid w:val="006844A3"/>
    <w:rsid w:val="0068463C"/>
    <w:rsid w:val="00685F6F"/>
    <w:rsid w:val="006863A4"/>
    <w:rsid w:val="00687CE3"/>
    <w:rsid w:val="0069216B"/>
    <w:rsid w:val="00692FA2"/>
    <w:rsid w:val="006937F5"/>
    <w:rsid w:val="00694B1E"/>
    <w:rsid w:val="00695BEC"/>
    <w:rsid w:val="00696AC6"/>
    <w:rsid w:val="006A192C"/>
    <w:rsid w:val="006A1B67"/>
    <w:rsid w:val="006A33F2"/>
    <w:rsid w:val="006B212A"/>
    <w:rsid w:val="006B2F35"/>
    <w:rsid w:val="006B3215"/>
    <w:rsid w:val="006B3BFE"/>
    <w:rsid w:val="006B3E7F"/>
    <w:rsid w:val="006B536A"/>
    <w:rsid w:val="006B5B60"/>
    <w:rsid w:val="006B71A6"/>
    <w:rsid w:val="006C0237"/>
    <w:rsid w:val="006C084B"/>
    <w:rsid w:val="006C1009"/>
    <w:rsid w:val="006C10DE"/>
    <w:rsid w:val="006C29B9"/>
    <w:rsid w:val="006C2C1C"/>
    <w:rsid w:val="006C3AA4"/>
    <w:rsid w:val="006C3BDB"/>
    <w:rsid w:val="006C3D43"/>
    <w:rsid w:val="006C61F7"/>
    <w:rsid w:val="006C67DC"/>
    <w:rsid w:val="006C6BC1"/>
    <w:rsid w:val="006C7679"/>
    <w:rsid w:val="006D1214"/>
    <w:rsid w:val="006D348D"/>
    <w:rsid w:val="006D4051"/>
    <w:rsid w:val="006D59EA"/>
    <w:rsid w:val="006D5C48"/>
    <w:rsid w:val="006D5DAB"/>
    <w:rsid w:val="006D69A7"/>
    <w:rsid w:val="006E0425"/>
    <w:rsid w:val="006E1ECA"/>
    <w:rsid w:val="006E3526"/>
    <w:rsid w:val="006E3759"/>
    <w:rsid w:val="006E3989"/>
    <w:rsid w:val="006E47BB"/>
    <w:rsid w:val="006E488B"/>
    <w:rsid w:val="006E7DA4"/>
    <w:rsid w:val="006F104A"/>
    <w:rsid w:val="006F1436"/>
    <w:rsid w:val="006F14A2"/>
    <w:rsid w:val="006F162C"/>
    <w:rsid w:val="006F1A93"/>
    <w:rsid w:val="006F1D3A"/>
    <w:rsid w:val="006F3138"/>
    <w:rsid w:val="006F5BA5"/>
    <w:rsid w:val="0070019A"/>
    <w:rsid w:val="00700D07"/>
    <w:rsid w:val="00702121"/>
    <w:rsid w:val="0070223E"/>
    <w:rsid w:val="00702295"/>
    <w:rsid w:val="007028F1"/>
    <w:rsid w:val="00703DBE"/>
    <w:rsid w:val="00706993"/>
    <w:rsid w:val="00706F8E"/>
    <w:rsid w:val="00707EDA"/>
    <w:rsid w:val="00711E65"/>
    <w:rsid w:val="00713879"/>
    <w:rsid w:val="007143E3"/>
    <w:rsid w:val="00715DDF"/>
    <w:rsid w:val="00715FB7"/>
    <w:rsid w:val="00720A9C"/>
    <w:rsid w:val="00720B0E"/>
    <w:rsid w:val="00721D55"/>
    <w:rsid w:val="00722FDC"/>
    <w:rsid w:val="00723F56"/>
    <w:rsid w:val="00724A0F"/>
    <w:rsid w:val="00724AE3"/>
    <w:rsid w:val="00724C5F"/>
    <w:rsid w:val="00725187"/>
    <w:rsid w:val="00725796"/>
    <w:rsid w:val="00725B9A"/>
    <w:rsid w:val="00725C4F"/>
    <w:rsid w:val="007268EF"/>
    <w:rsid w:val="007278D6"/>
    <w:rsid w:val="00727EB3"/>
    <w:rsid w:val="00734BEF"/>
    <w:rsid w:val="00736278"/>
    <w:rsid w:val="0074014C"/>
    <w:rsid w:val="007407A0"/>
    <w:rsid w:val="007414E3"/>
    <w:rsid w:val="007419C7"/>
    <w:rsid w:val="00742168"/>
    <w:rsid w:val="00742DCC"/>
    <w:rsid w:val="007444D1"/>
    <w:rsid w:val="0074522B"/>
    <w:rsid w:val="00745C00"/>
    <w:rsid w:val="00746E14"/>
    <w:rsid w:val="007472DD"/>
    <w:rsid w:val="0075024A"/>
    <w:rsid w:val="007516C9"/>
    <w:rsid w:val="00751C13"/>
    <w:rsid w:val="00753782"/>
    <w:rsid w:val="007545E6"/>
    <w:rsid w:val="007573CE"/>
    <w:rsid w:val="007608BB"/>
    <w:rsid w:val="00760F6B"/>
    <w:rsid w:val="007610DB"/>
    <w:rsid w:val="00761BCE"/>
    <w:rsid w:val="007640F2"/>
    <w:rsid w:val="0076449A"/>
    <w:rsid w:val="0076488E"/>
    <w:rsid w:val="00764D7D"/>
    <w:rsid w:val="007652D8"/>
    <w:rsid w:val="007661CC"/>
    <w:rsid w:val="0076685E"/>
    <w:rsid w:val="007669F1"/>
    <w:rsid w:val="00767A54"/>
    <w:rsid w:val="007725CD"/>
    <w:rsid w:val="0077267D"/>
    <w:rsid w:val="00772BC1"/>
    <w:rsid w:val="007756A0"/>
    <w:rsid w:val="00776B47"/>
    <w:rsid w:val="00777129"/>
    <w:rsid w:val="00777659"/>
    <w:rsid w:val="00780560"/>
    <w:rsid w:val="00783625"/>
    <w:rsid w:val="00783776"/>
    <w:rsid w:val="00784232"/>
    <w:rsid w:val="00784910"/>
    <w:rsid w:val="00784FDB"/>
    <w:rsid w:val="0078589A"/>
    <w:rsid w:val="00785C58"/>
    <w:rsid w:val="0078639A"/>
    <w:rsid w:val="00786541"/>
    <w:rsid w:val="00786A22"/>
    <w:rsid w:val="00786DF3"/>
    <w:rsid w:val="007877AE"/>
    <w:rsid w:val="007903A7"/>
    <w:rsid w:val="00790D59"/>
    <w:rsid w:val="00790DF8"/>
    <w:rsid w:val="007925AF"/>
    <w:rsid w:val="00792A0D"/>
    <w:rsid w:val="007A0FC8"/>
    <w:rsid w:val="007A173F"/>
    <w:rsid w:val="007A1E3A"/>
    <w:rsid w:val="007A300E"/>
    <w:rsid w:val="007A449E"/>
    <w:rsid w:val="007A469C"/>
    <w:rsid w:val="007A4996"/>
    <w:rsid w:val="007A4A35"/>
    <w:rsid w:val="007A4B24"/>
    <w:rsid w:val="007A5B36"/>
    <w:rsid w:val="007A7A47"/>
    <w:rsid w:val="007A7EE1"/>
    <w:rsid w:val="007B4354"/>
    <w:rsid w:val="007B47E3"/>
    <w:rsid w:val="007B4A66"/>
    <w:rsid w:val="007B4FB0"/>
    <w:rsid w:val="007B59E6"/>
    <w:rsid w:val="007C1A3E"/>
    <w:rsid w:val="007C3F47"/>
    <w:rsid w:val="007C3F61"/>
    <w:rsid w:val="007C41BB"/>
    <w:rsid w:val="007C5330"/>
    <w:rsid w:val="007C7304"/>
    <w:rsid w:val="007C748F"/>
    <w:rsid w:val="007D0546"/>
    <w:rsid w:val="007D072A"/>
    <w:rsid w:val="007D105D"/>
    <w:rsid w:val="007D15BD"/>
    <w:rsid w:val="007D398C"/>
    <w:rsid w:val="007D40FD"/>
    <w:rsid w:val="007D507A"/>
    <w:rsid w:val="007D62ED"/>
    <w:rsid w:val="007D7A16"/>
    <w:rsid w:val="007D7F3C"/>
    <w:rsid w:val="007E03B5"/>
    <w:rsid w:val="007E0D13"/>
    <w:rsid w:val="007E4C18"/>
    <w:rsid w:val="007E5F18"/>
    <w:rsid w:val="007E6067"/>
    <w:rsid w:val="007E6D44"/>
    <w:rsid w:val="007F0054"/>
    <w:rsid w:val="007F09A6"/>
    <w:rsid w:val="007F201A"/>
    <w:rsid w:val="007F3697"/>
    <w:rsid w:val="007F3B0D"/>
    <w:rsid w:val="007F59E8"/>
    <w:rsid w:val="007F5EE9"/>
    <w:rsid w:val="007F6452"/>
    <w:rsid w:val="007F748F"/>
    <w:rsid w:val="007F7FAB"/>
    <w:rsid w:val="00803B1A"/>
    <w:rsid w:val="008075B3"/>
    <w:rsid w:val="00811D7B"/>
    <w:rsid w:val="00812B0E"/>
    <w:rsid w:val="0081308E"/>
    <w:rsid w:val="0081552D"/>
    <w:rsid w:val="00815A3E"/>
    <w:rsid w:val="00816703"/>
    <w:rsid w:val="00816FB0"/>
    <w:rsid w:val="00820C26"/>
    <w:rsid w:val="00821B70"/>
    <w:rsid w:val="008222DE"/>
    <w:rsid w:val="008231AA"/>
    <w:rsid w:val="00823439"/>
    <w:rsid w:val="008236DA"/>
    <w:rsid w:val="00826437"/>
    <w:rsid w:val="00826467"/>
    <w:rsid w:val="008276CF"/>
    <w:rsid w:val="00827B6C"/>
    <w:rsid w:val="00830640"/>
    <w:rsid w:val="00830AE6"/>
    <w:rsid w:val="00830D28"/>
    <w:rsid w:val="0083757E"/>
    <w:rsid w:val="008377CD"/>
    <w:rsid w:val="008407DB"/>
    <w:rsid w:val="00840E50"/>
    <w:rsid w:val="00841050"/>
    <w:rsid w:val="008427F1"/>
    <w:rsid w:val="00842D05"/>
    <w:rsid w:val="008434AA"/>
    <w:rsid w:val="0084373E"/>
    <w:rsid w:val="00844A53"/>
    <w:rsid w:val="0084546C"/>
    <w:rsid w:val="00845563"/>
    <w:rsid w:val="0084640C"/>
    <w:rsid w:val="00846ED9"/>
    <w:rsid w:val="00850124"/>
    <w:rsid w:val="0085062D"/>
    <w:rsid w:val="00850C02"/>
    <w:rsid w:val="0085134D"/>
    <w:rsid w:val="00855541"/>
    <w:rsid w:val="00857FCC"/>
    <w:rsid w:val="008603CD"/>
    <w:rsid w:val="008613D5"/>
    <w:rsid w:val="0086206D"/>
    <w:rsid w:val="00862ECB"/>
    <w:rsid w:val="008635B5"/>
    <w:rsid w:val="00863A99"/>
    <w:rsid w:val="00863CD2"/>
    <w:rsid w:val="00863E77"/>
    <w:rsid w:val="00866917"/>
    <w:rsid w:val="00866BA2"/>
    <w:rsid w:val="008709A0"/>
    <w:rsid w:val="00870C9A"/>
    <w:rsid w:val="00871A18"/>
    <w:rsid w:val="008724A1"/>
    <w:rsid w:val="008727CF"/>
    <w:rsid w:val="008734EB"/>
    <w:rsid w:val="00873718"/>
    <w:rsid w:val="00873BFD"/>
    <w:rsid w:val="0087515A"/>
    <w:rsid w:val="0087558D"/>
    <w:rsid w:val="00875A41"/>
    <w:rsid w:val="008766C2"/>
    <w:rsid w:val="00877301"/>
    <w:rsid w:val="00881F58"/>
    <w:rsid w:val="00884B8D"/>
    <w:rsid w:val="00884C34"/>
    <w:rsid w:val="008852A3"/>
    <w:rsid w:val="00886298"/>
    <w:rsid w:val="00890A3E"/>
    <w:rsid w:val="00890BE4"/>
    <w:rsid w:val="00891526"/>
    <w:rsid w:val="00892E14"/>
    <w:rsid w:val="00892E85"/>
    <w:rsid w:val="008A0685"/>
    <w:rsid w:val="008A0CB8"/>
    <w:rsid w:val="008A1527"/>
    <w:rsid w:val="008A1568"/>
    <w:rsid w:val="008A31D5"/>
    <w:rsid w:val="008A601B"/>
    <w:rsid w:val="008A6C19"/>
    <w:rsid w:val="008A750C"/>
    <w:rsid w:val="008B0CBA"/>
    <w:rsid w:val="008B1A77"/>
    <w:rsid w:val="008B22A7"/>
    <w:rsid w:val="008B27AE"/>
    <w:rsid w:val="008B2884"/>
    <w:rsid w:val="008B3176"/>
    <w:rsid w:val="008B381D"/>
    <w:rsid w:val="008B50EE"/>
    <w:rsid w:val="008B563F"/>
    <w:rsid w:val="008B59A5"/>
    <w:rsid w:val="008B66CB"/>
    <w:rsid w:val="008B7232"/>
    <w:rsid w:val="008C029D"/>
    <w:rsid w:val="008C0709"/>
    <w:rsid w:val="008C097E"/>
    <w:rsid w:val="008C2AD7"/>
    <w:rsid w:val="008C2B41"/>
    <w:rsid w:val="008C2C64"/>
    <w:rsid w:val="008C653C"/>
    <w:rsid w:val="008C6E0F"/>
    <w:rsid w:val="008C7965"/>
    <w:rsid w:val="008C7AE7"/>
    <w:rsid w:val="008D11C7"/>
    <w:rsid w:val="008D27B3"/>
    <w:rsid w:val="008D4E79"/>
    <w:rsid w:val="008D5573"/>
    <w:rsid w:val="008D5DA7"/>
    <w:rsid w:val="008D662E"/>
    <w:rsid w:val="008D66BB"/>
    <w:rsid w:val="008D7BFD"/>
    <w:rsid w:val="008E0763"/>
    <w:rsid w:val="008E2190"/>
    <w:rsid w:val="008E3F2D"/>
    <w:rsid w:val="008E5AED"/>
    <w:rsid w:val="008E5D12"/>
    <w:rsid w:val="008E67E8"/>
    <w:rsid w:val="008E7558"/>
    <w:rsid w:val="008F1F43"/>
    <w:rsid w:val="008F3174"/>
    <w:rsid w:val="008F36D4"/>
    <w:rsid w:val="0090018E"/>
    <w:rsid w:val="009018D4"/>
    <w:rsid w:val="00903A0F"/>
    <w:rsid w:val="00904ADA"/>
    <w:rsid w:val="00905FE3"/>
    <w:rsid w:val="00906435"/>
    <w:rsid w:val="009064B1"/>
    <w:rsid w:val="009065FD"/>
    <w:rsid w:val="00913257"/>
    <w:rsid w:val="00913C96"/>
    <w:rsid w:val="00914A7E"/>
    <w:rsid w:val="00915AB9"/>
    <w:rsid w:val="00921823"/>
    <w:rsid w:val="00921AF5"/>
    <w:rsid w:val="0092320D"/>
    <w:rsid w:val="00924587"/>
    <w:rsid w:val="009256ED"/>
    <w:rsid w:val="0092571B"/>
    <w:rsid w:val="009257D6"/>
    <w:rsid w:val="00926861"/>
    <w:rsid w:val="00927491"/>
    <w:rsid w:val="00931708"/>
    <w:rsid w:val="009333F9"/>
    <w:rsid w:val="00934E92"/>
    <w:rsid w:val="00935BDE"/>
    <w:rsid w:val="0093624B"/>
    <w:rsid w:val="00937AE7"/>
    <w:rsid w:val="00941788"/>
    <w:rsid w:val="00941DFA"/>
    <w:rsid w:val="00944193"/>
    <w:rsid w:val="00945709"/>
    <w:rsid w:val="009465AE"/>
    <w:rsid w:val="00950B05"/>
    <w:rsid w:val="00951320"/>
    <w:rsid w:val="0095199A"/>
    <w:rsid w:val="00953758"/>
    <w:rsid w:val="009537D5"/>
    <w:rsid w:val="00960B89"/>
    <w:rsid w:val="009620D0"/>
    <w:rsid w:val="00962198"/>
    <w:rsid w:val="00962409"/>
    <w:rsid w:val="00962734"/>
    <w:rsid w:val="00962CD0"/>
    <w:rsid w:val="00962E8F"/>
    <w:rsid w:val="0096356A"/>
    <w:rsid w:val="00963EBA"/>
    <w:rsid w:val="00964EC8"/>
    <w:rsid w:val="0096564E"/>
    <w:rsid w:val="009679C8"/>
    <w:rsid w:val="00967AD2"/>
    <w:rsid w:val="00967E73"/>
    <w:rsid w:val="00970A86"/>
    <w:rsid w:val="00974427"/>
    <w:rsid w:val="00974952"/>
    <w:rsid w:val="00974B84"/>
    <w:rsid w:val="0097507D"/>
    <w:rsid w:val="0097591F"/>
    <w:rsid w:val="00975C2B"/>
    <w:rsid w:val="00980A4C"/>
    <w:rsid w:val="00980C64"/>
    <w:rsid w:val="009813C4"/>
    <w:rsid w:val="00981C53"/>
    <w:rsid w:val="00982500"/>
    <w:rsid w:val="00982A90"/>
    <w:rsid w:val="009838FD"/>
    <w:rsid w:val="0098512D"/>
    <w:rsid w:val="00985D91"/>
    <w:rsid w:val="00987275"/>
    <w:rsid w:val="009877D0"/>
    <w:rsid w:val="0099007F"/>
    <w:rsid w:val="00990133"/>
    <w:rsid w:val="00991A44"/>
    <w:rsid w:val="00992D3B"/>
    <w:rsid w:val="00992F7F"/>
    <w:rsid w:val="00993809"/>
    <w:rsid w:val="009948FE"/>
    <w:rsid w:val="009956DA"/>
    <w:rsid w:val="009957CA"/>
    <w:rsid w:val="00996279"/>
    <w:rsid w:val="009979E1"/>
    <w:rsid w:val="00997F25"/>
    <w:rsid w:val="009A05C4"/>
    <w:rsid w:val="009A08C1"/>
    <w:rsid w:val="009A1ADA"/>
    <w:rsid w:val="009A3734"/>
    <w:rsid w:val="009A456B"/>
    <w:rsid w:val="009A4EFC"/>
    <w:rsid w:val="009A5289"/>
    <w:rsid w:val="009A6666"/>
    <w:rsid w:val="009A7C43"/>
    <w:rsid w:val="009B00F1"/>
    <w:rsid w:val="009B0219"/>
    <w:rsid w:val="009B1469"/>
    <w:rsid w:val="009B35B5"/>
    <w:rsid w:val="009B4647"/>
    <w:rsid w:val="009B4EEB"/>
    <w:rsid w:val="009B5415"/>
    <w:rsid w:val="009B6485"/>
    <w:rsid w:val="009B68FB"/>
    <w:rsid w:val="009C0440"/>
    <w:rsid w:val="009C1DF7"/>
    <w:rsid w:val="009C57B6"/>
    <w:rsid w:val="009C5BF7"/>
    <w:rsid w:val="009D14E8"/>
    <w:rsid w:val="009D1EA8"/>
    <w:rsid w:val="009D1FA0"/>
    <w:rsid w:val="009D1FC8"/>
    <w:rsid w:val="009D3C9D"/>
    <w:rsid w:val="009D4975"/>
    <w:rsid w:val="009D5BE0"/>
    <w:rsid w:val="009D7216"/>
    <w:rsid w:val="009D7D69"/>
    <w:rsid w:val="009E04A5"/>
    <w:rsid w:val="009E0580"/>
    <w:rsid w:val="009E1C05"/>
    <w:rsid w:val="009E29D4"/>
    <w:rsid w:val="009E3926"/>
    <w:rsid w:val="009E393C"/>
    <w:rsid w:val="009E56C9"/>
    <w:rsid w:val="009F4CD6"/>
    <w:rsid w:val="009F5248"/>
    <w:rsid w:val="009F7838"/>
    <w:rsid w:val="009F7BAC"/>
    <w:rsid w:val="009F7C5A"/>
    <w:rsid w:val="00A0125A"/>
    <w:rsid w:val="00A01839"/>
    <w:rsid w:val="00A01BD1"/>
    <w:rsid w:val="00A0490F"/>
    <w:rsid w:val="00A1011C"/>
    <w:rsid w:val="00A102D1"/>
    <w:rsid w:val="00A110D1"/>
    <w:rsid w:val="00A118EF"/>
    <w:rsid w:val="00A1195C"/>
    <w:rsid w:val="00A142A0"/>
    <w:rsid w:val="00A14355"/>
    <w:rsid w:val="00A15FCC"/>
    <w:rsid w:val="00A1632E"/>
    <w:rsid w:val="00A1729E"/>
    <w:rsid w:val="00A201F4"/>
    <w:rsid w:val="00A21476"/>
    <w:rsid w:val="00A2253C"/>
    <w:rsid w:val="00A239B1"/>
    <w:rsid w:val="00A2658E"/>
    <w:rsid w:val="00A26AB0"/>
    <w:rsid w:val="00A27705"/>
    <w:rsid w:val="00A2777F"/>
    <w:rsid w:val="00A309E1"/>
    <w:rsid w:val="00A3109A"/>
    <w:rsid w:val="00A314A7"/>
    <w:rsid w:val="00A31D13"/>
    <w:rsid w:val="00A31D3A"/>
    <w:rsid w:val="00A322EA"/>
    <w:rsid w:val="00A33EE1"/>
    <w:rsid w:val="00A35049"/>
    <w:rsid w:val="00A358AC"/>
    <w:rsid w:val="00A363A4"/>
    <w:rsid w:val="00A36900"/>
    <w:rsid w:val="00A36A70"/>
    <w:rsid w:val="00A36B72"/>
    <w:rsid w:val="00A37E0D"/>
    <w:rsid w:val="00A402C6"/>
    <w:rsid w:val="00A41924"/>
    <w:rsid w:val="00A41FB3"/>
    <w:rsid w:val="00A43C7C"/>
    <w:rsid w:val="00A45955"/>
    <w:rsid w:val="00A45C44"/>
    <w:rsid w:val="00A5100D"/>
    <w:rsid w:val="00A5144B"/>
    <w:rsid w:val="00A55A4A"/>
    <w:rsid w:val="00A57D16"/>
    <w:rsid w:val="00A60416"/>
    <w:rsid w:val="00A6064A"/>
    <w:rsid w:val="00A63601"/>
    <w:rsid w:val="00A63B90"/>
    <w:rsid w:val="00A6435B"/>
    <w:rsid w:val="00A6442A"/>
    <w:rsid w:val="00A65419"/>
    <w:rsid w:val="00A65636"/>
    <w:rsid w:val="00A65F9F"/>
    <w:rsid w:val="00A6691D"/>
    <w:rsid w:val="00A70884"/>
    <w:rsid w:val="00A77755"/>
    <w:rsid w:val="00A80B05"/>
    <w:rsid w:val="00A81AB6"/>
    <w:rsid w:val="00A82A09"/>
    <w:rsid w:val="00A84847"/>
    <w:rsid w:val="00A909C5"/>
    <w:rsid w:val="00A9187C"/>
    <w:rsid w:val="00A96494"/>
    <w:rsid w:val="00A9738F"/>
    <w:rsid w:val="00AA0049"/>
    <w:rsid w:val="00AA0BA8"/>
    <w:rsid w:val="00AA12CD"/>
    <w:rsid w:val="00AA3349"/>
    <w:rsid w:val="00AA52A3"/>
    <w:rsid w:val="00AA76ED"/>
    <w:rsid w:val="00AB0285"/>
    <w:rsid w:val="00AB1212"/>
    <w:rsid w:val="00AB2BE5"/>
    <w:rsid w:val="00AB4AB1"/>
    <w:rsid w:val="00AB5652"/>
    <w:rsid w:val="00AB5ED8"/>
    <w:rsid w:val="00AC02CF"/>
    <w:rsid w:val="00AC2820"/>
    <w:rsid w:val="00AC28B6"/>
    <w:rsid w:val="00AC5EE4"/>
    <w:rsid w:val="00AC7800"/>
    <w:rsid w:val="00AD03CB"/>
    <w:rsid w:val="00AD1240"/>
    <w:rsid w:val="00AD1595"/>
    <w:rsid w:val="00AD24B3"/>
    <w:rsid w:val="00AD6F9A"/>
    <w:rsid w:val="00AD7343"/>
    <w:rsid w:val="00AD75AD"/>
    <w:rsid w:val="00AE0560"/>
    <w:rsid w:val="00AE0EA9"/>
    <w:rsid w:val="00AE3A1C"/>
    <w:rsid w:val="00AE7CBF"/>
    <w:rsid w:val="00AF05C9"/>
    <w:rsid w:val="00AF0FBF"/>
    <w:rsid w:val="00AF18F2"/>
    <w:rsid w:val="00AF1E5D"/>
    <w:rsid w:val="00AF3F60"/>
    <w:rsid w:val="00AF7362"/>
    <w:rsid w:val="00AF7375"/>
    <w:rsid w:val="00AF7880"/>
    <w:rsid w:val="00AF79DE"/>
    <w:rsid w:val="00AF7BB8"/>
    <w:rsid w:val="00B0000B"/>
    <w:rsid w:val="00B001B2"/>
    <w:rsid w:val="00B0114B"/>
    <w:rsid w:val="00B01409"/>
    <w:rsid w:val="00B017A0"/>
    <w:rsid w:val="00B03C91"/>
    <w:rsid w:val="00B043B6"/>
    <w:rsid w:val="00B0485F"/>
    <w:rsid w:val="00B06BD8"/>
    <w:rsid w:val="00B06CDF"/>
    <w:rsid w:val="00B06E2F"/>
    <w:rsid w:val="00B14198"/>
    <w:rsid w:val="00B14C79"/>
    <w:rsid w:val="00B15F60"/>
    <w:rsid w:val="00B17D37"/>
    <w:rsid w:val="00B17F28"/>
    <w:rsid w:val="00B21629"/>
    <w:rsid w:val="00B2296F"/>
    <w:rsid w:val="00B23C55"/>
    <w:rsid w:val="00B25617"/>
    <w:rsid w:val="00B25877"/>
    <w:rsid w:val="00B25B4C"/>
    <w:rsid w:val="00B25C43"/>
    <w:rsid w:val="00B27E3E"/>
    <w:rsid w:val="00B3009C"/>
    <w:rsid w:val="00B30D9D"/>
    <w:rsid w:val="00B3266B"/>
    <w:rsid w:val="00B32DDE"/>
    <w:rsid w:val="00B34E43"/>
    <w:rsid w:val="00B35D65"/>
    <w:rsid w:val="00B35E4A"/>
    <w:rsid w:val="00B374B0"/>
    <w:rsid w:val="00B40328"/>
    <w:rsid w:val="00B4191A"/>
    <w:rsid w:val="00B4195F"/>
    <w:rsid w:val="00B41DB3"/>
    <w:rsid w:val="00B424B5"/>
    <w:rsid w:val="00B4266F"/>
    <w:rsid w:val="00B42D3E"/>
    <w:rsid w:val="00B43AF7"/>
    <w:rsid w:val="00B451FB"/>
    <w:rsid w:val="00B4533D"/>
    <w:rsid w:val="00B45CD3"/>
    <w:rsid w:val="00B46BE3"/>
    <w:rsid w:val="00B47D94"/>
    <w:rsid w:val="00B50128"/>
    <w:rsid w:val="00B524E3"/>
    <w:rsid w:val="00B52745"/>
    <w:rsid w:val="00B527A8"/>
    <w:rsid w:val="00B531D6"/>
    <w:rsid w:val="00B55433"/>
    <w:rsid w:val="00B562DC"/>
    <w:rsid w:val="00B624C4"/>
    <w:rsid w:val="00B6276F"/>
    <w:rsid w:val="00B632BB"/>
    <w:rsid w:val="00B634F6"/>
    <w:rsid w:val="00B64116"/>
    <w:rsid w:val="00B65249"/>
    <w:rsid w:val="00B66E21"/>
    <w:rsid w:val="00B67546"/>
    <w:rsid w:val="00B71C9F"/>
    <w:rsid w:val="00B7235C"/>
    <w:rsid w:val="00B7280C"/>
    <w:rsid w:val="00B74213"/>
    <w:rsid w:val="00B7687C"/>
    <w:rsid w:val="00B76DB8"/>
    <w:rsid w:val="00B76E98"/>
    <w:rsid w:val="00B77B87"/>
    <w:rsid w:val="00B810A5"/>
    <w:rsid w:val="00B8196D"/>
    <w:rsid w:val="00B8209D"/>
    <w:rsid w:val="00B820A2"/>
    <w:rsid w:val="00B82112"/>
    <w:rsid w:val="00B822A3"/>
    <w:rsid w:val="00B83907"/>
    <w:rsid w:val="00B83AA5"/>
    <w:rsid w:val="00B8419B"/>
    <w:rsid w:val="00B8593E"/>
    <w:rsid w:val="00B8649D"/>
    <w:rsid w:val="00B90123"/>
    <w:rsid w:val="00B91137"/>
    <w:rsid w:val="00B91444"/>
    <w:rsid w:val="00B924E2"/>
    <w:rsid w:val="00B9294D"/>
    <w:rsid w:val="00B967F8"/>
    <w:rsid w:val="00B96DB2"/>
    <w:rsid w:val="00B971C7"/>
    <w:rsid w:val="00BA2261"/>
    <w:rsid w:val="00BA53A1"/>
    <w:rsid w:val="00BA5BB6"/>
    <w:rsid w:val="00BA6C7B"/>
    <w:rsid w:val="00BA7353"/>
    <w:rsid w:val="00BB27FB"/>
    <w:rsid w:val="00BB3D29"/>
    <w:rsid w:val="00BB5CD9"/>
    <w:rsid w:val="00BB5F34"/>
    <w:rsid w:val="00BB7C48"/>
    <w:rsid w:val="00BB7CF9"/>
    <w:rsid w:val="00BC12ED"/>
    <w:rsid w:val="00BC1956"/>
    <w:rsid w:val="00BC2F13"/>
    <w:rsid w:val="00BC46A5"/>
    <w:rsid w:val="00BC629C"/>
    <w:rsid w:val="00BC6600"/>
    <w:rsid w:val="00BC6845"/>
    <w:rsid w:val="00BC69DA"/>
    <w:rsid w:val="00BC6E4D"/>
    <w:rsid w:val="00BD2577"/>
    <w:rsid w:val="00BD31BE"/>
    <w:rsid w:val="00BD4C57"/>
    <w:rsid w:val="00BD5244"/>
    <w:rsid w:val="00BD794E"/>
    <w:rsid w:val="00BE0B04"/>
    <w:rsid w:val="00BE1324"/>
    <w:rsid w:val="00BE3009"/>
    <w:rsid w:val="00BE4B60"/>
    <w:rsid w:val="00BE6398"/>
    <w:rsid w:val="00BF0206"/>
    <w:rsid w:val="00BF1E1F"/>
    <w:rsid w:val="00BF2374"/>
    <w:rsid w:val="00BF41A4"/>
    <w:rsid w:val="00BF4201"/>
    <w:rsid w:val="00BF795D"/>
    <w:rsid w:val="00BF7969"/>
    <w:rsid w:val="00C001CA"/>
    <w:rsid w:val="00C019DF"/>
    <w:rsid w:val="00C01DF5"/>
    <w:rsid w:val="00C0334C"/>
    <w:rsid w:val="00C0374F"/>
    <w:rsid w:val="00C03BDD"/>
    <w:rsid w:val="00C04535"/>
    <w:rsid w:val="00C04841"/>
    <w:rsid w:val="00C04B97"/>
    <w:rsid w:val="00C06DEA"/>
    <w:rsid w:val="00C07D56"/>
    <w:rsid w:val="00C12075"/>
    <w:rsid w:val="00C1369E"/>
    <w:rsid w:val="00C143A8"/>
    <w:rsid w:val="00C14F84"/>
    <w:rsid w:val="00C15115"/>
    <w:rsid w:val="00C16A91"/>
    <w:rsid w:val="00C16D00"/>
    <w:rsid w:val="00C203A5"/>
    <w:rsid w:val="00C203F0"/>
    <w:rsid w:val="00C20B88"/>
    <w:rsid w:val="00C20C38"/>
    <w:rsid w:val="00C2124A"/>
    <w:rsid w:val="00C219C0"/>
    <w:rsid w:val="00C245A1"/>
    <w:rsid w:val="00C255DC"/>
    <w:rsid w:val="00C25D40"/>
    <w:rsid w:val="00C261B8"/>
    <w:rsid w:val="00C27362"/>
    <w:rsid w:val="00C27C44"/>
    <w:rsid w:val="00C27EC2"/>
    <w:rsid w:val="00C303B4"/>
    <w:rsid w:val="00C30700"/>
    <w:rsid w:val="00C34462"/>
    <w:rsid w:val="00C34690"/>
    <w:rsid w:val="00C346CA"/>
    <w:rsid w:val="00C347FF"/>
    <w:rsid w:val="00C34BCD"/>
    <w:rsid w:val="00C35864"/>
    <w:rsid w:val="00C35E50"/>
    <w:rsid w:val="00C4075A"/>
    <w:rsid w:val="00C420D9"/>
    <w:rsid w:val="00C4224F"/>
    <w:rsid w:val="00C4495B"/>
    <w:rsid w:val="00C45782"/>
    <w:rsid w:val="00C45B48"/>
    <w:rsid w:val="00C4600A"/>
    <w:rsid w:val="00C4660C"/>
    <w:rsid w:val="00C4684D"/>
    <w:rsid w:val="00C46E8D"/>
    <w:rsid w:val="00C51517"/>
    <w:rsid w:val="00C5176E"/>
    <w:rsid w:val="00C51985"/>
    <w:rsid w:val="00C51D85"/>
    <w:rsid w:val="00C52382"/>
    <w:rsid w:val="00C55633"/>
    <w:rsid w:val="00C55E70"/>
    <w:rsid w:val="00C56703"/>
    <w:rsid w:val="00C57550"/>
    <w:rsid w:val="00C60978"/>
    <w:rsid w:val="00C60F8D"/>
    <w:rsid w:val="00C6194E"/>
    <w:rsid w:val="00C61D12"/>
    <w:rsid w:val="00C6334A"/>
    <w:rsid w:val="00C63D7D"/>
    <w:rsid w:val="00C65F05"/>
    <w:rsid w:val="00C67A1D"/>
    <w:rsid w:val="00C71039"/>
    <w:rsid w:val="00C723EF"/>
    <w:rsid w:val="00C73CE9"/>
    <w:rsid w:val="00C74E14"/>
    <w:rsid w:val="00C755F7"/>
    <w:rsid w:val="00C75CE0"/>
    <w:rsid w:val="00C77518"/>
    <w:rsid w:val="00C77AA2"/>
    <w:rsid w:val="00C802A9"/>
    <w:rsid w:val="00C8148C"/>
    <w:rsid w:val="00C8172B"/>
    <w:rsid w:val="00C83134"/>
    <w:rsid w:val="00C83E0D"/>
    <w:rsid w:val="00C83F3E"/>
    <w:rsid w:val="00C843F0"/>
    <w:rsid w:val="00C84698"/>
    <w:rsid w:val="00C84743"/>
    <w:rsid w:val="00C852EA"/>
    <w:rsid w:val="00C8628C"/>
    <w:rsid w:val="00C87365"/>
    <w:rsid w:val="00C87600"/>
    <w:rsid w:val="00C903C8"/>
    <w:rsid w:val="00C90E9B"/>
    <w:rsid w:val="00C918C9"/>
    <w:rsid w:val="00C91F31"/>
    <w:rsid w:val="00C93D23"/>
    <w:rsid w:val="00C948F6"/>
    <w:rsid w:val="00C94D92"/>
    <w:rsid w:val="00C952E9"/>
    <w:rsid w:val="00C95BF3"/>
    <w:rsid w:val="00C95C71"/>
    <w:rsid w:val="00C95CD7"/>
    <w:rsid w:val="00C9696F"/>
    <w:rsid w:val="00C9793A"/>
    <w:rsid w:val="00CA0917"/>
    <w:rsid w:val="00CA11EF"/>
    <w:rsid w:val="00CA3111"/>
    <w:rsid w:val="00CA4096"/>
    <w:rsid w:val="00CA5DAA"/>
    <w:rsid w:val="00CA615A"/>
    <w:rsid w:val="00CA644B"/>
    <w:rsid w:val="00CA67A6"/>
    <w:rsid w:val="00CA6D02"/>
    <w:rsid w:val="00CB05E1"/>
    <w:rsid w:val="00CB1453"/>
    <w:rsid w:val="00CB324E"/>
    <w:rsid w:val="00CB633A"/>
    <w:rsid w:val="00CB6841"/>
    <w:rsid w:val="00CC0792"/>
    <w:rsid w:val="00CC240D"/>
    <w:rsid w:val="00CC29B2"/>
    <w:rsid w:val="00CC2B82"/>
    <w:rsid w:val="00CC3378"/>
    <w:rsid w:val="00CC4201"/>
    <w:rsid w:val="00CC4A7D"/>
    <w:rsid w:val="00CC6FFC"/>
    <w:rsid w:val="00CC7515"/>
    <w:rsid w:val="00CD02BA"/>
    <w:rsid w:val="00CD0FCD"/>
    <w:rsid w:val="00CD4242"/>
    <w:rsid w:val="00CD4D1D"/>
    <w:rsid w:val="00CD5FC3"/>
    <w:rsid w:val="00CD74BF"/>
    <w:rsid w:val="00CE4788"/>
    <w:rsid w:val="00CE4D0A"/>
    <w:rsid w:val="00CE5630"/>
    <w:rsid w:val="00CE6352"/>
    <w:rsid w:val="00CE63B9"/>
    <w:rsid w:val="00CE69AC"/>
    <w:rsid w:val="00CE74A9"/>
    <w:rsid w:val="00CF02EF"/>
    <w:rsid w:val="00CF091E"/>
    <w:rsid w:val="00CF0FC8"/>
    <w:rsid w:val="00CF18D3"/>
    <w:rsid w:val="00CF1E0C"/>
    <w:rsid w:val="00CF33C1"/>
    <w:rsid w:val="00CF4214"/>
    <w:rsid w:val="00CF5505"/>
    <w:rsid w:val="00CF67DC"/>
    <w:rsid w:val="00D00E3C"/>
    <w:rsid w:val="00D017DB"/>
    <w:rsid w:val="00D035AD"/>
    <w:rsid w:val="00D07375"/>
    <w:rsid w:val="00D0778D"/>
    <w:rsid w:val="00D07AEE"/>
    <w:rsid w:val="00D13B5B"/>
    <w:rsid w:val="00D13D70"/>
    <w:rsid w:val="00D150C5"/>
    <w:rsid w:val="00D1563E"/>
    <w:rsid w:val="00D16336"/>
    <w:rsid w:val="00D1782D"/>
    <w:rsid w:val="00D17F6E"/>
    <w:rsid w:val="00D222C0"/>
    <w:rsid w:val="00D22C14"/>
    <w:rsid w:val="00D23311"/>
    <w:rsid w:val="00D23678"/>
    <w:rsid w:val="00D23788"/>
    <w:rsid w:val="00D24473"/>
    <w:rsid w:val="00D2558F"/>
    <w:rsid w:val="00D26A6D"/>
    <w:rsid w:val="00D30021"/>
    <w:rsid w:val="00D3136C"/>
    <w:rsid w:val="00D31496"/>
    <w:rsid w:val="00D32E06"/>
    <w:rsid w:val="00D34B4D"/>
    <w:rsid w:val="00D362E5"/>
    <w:rsid w:val="00D3715C"/>
    <w:rsid w:val="00D40A1C"/>
    <w:rsid w:val="00D42A16"/>
    <w:rsid w:val="00D4422D"/>
    <w:rsid w:val="00D44288"/>
    <w:rsid w:val="00D444BB"/>
    <w:rsid w:val="00D44B07"/>
    <w:rsid w:val="00D44BAF"/>
    <w:rsid w:val="00D44D61"/>
    <w:rsid w:val="00D46011"/>
    <w:rsid w:val="00D4711E"/>
    <w:rsid w:val="00D4732D"/>
    <w:rsid w:val="00D477B7"/>
    <w:rsid w:val="00D501D8"/>
    <w:rsid w:val="00D502D2"/>
    <w:rsid w:val="00D52257"/>
    <w:rsid w:val="00D52DF7"/>
    <w:rsid w:val="00D53B50"/>
    <w:rsid w:val="00D55A57"/>
    <w:rsid w:val="00D55F4A"/>
    <w:rsid w:val="00D5798E"/>
    <w:rsid w:val="00D57C1D"/>
    <w:rsid w:val="00D60896"/>
    <w:rsid w:val="00D62325"/>
    <w:rsid w:val="00D6408F"/>
    <w:rsid w:val="00D664A6"/>
    <w:rsid w:val="00D6725D"/>
    <w:rsid w:val="00D74F1B"/>
    <w:rsid w:val="00D80315"/>
    <w:rsid w:val="00D80DF2"/>
    <w:rsid w:val="00D82F5C"/>
    <w:rsid w:val="00D83005"/>
    <w:rsid w:val="00D8300D"/>
    <w:rsid w:val="00D83A88"/>
    <w:rsid w:val="00D844B7"/>
    <w:rsid w:val="00D853D4"/>
    <w:rsid w:val="00D85763"/>
    <w:rsid w:val="00D8707E"/>
    <w:rsid w:val="00D87A2C"/>
    <w:rsid w:val="00D908EA"/>
    <w:rsid w:val="00D90DBB"/>
    <w:rsid w:val="00D911B9"/>
    <w:rsid w:val="00D911E4"/>
    <w:rsid w:val="00D91BA3"/>
    <w:rsid w:val="00D92834"/>
    <w:rsid w:val="00D9321A"/>
    <w:rsid w:val="00D94191"/>
    <w:rsid w:val="00D95B1C"/>
    <w:rsid w:val="00D9636B"/>
    <w:rsid w:val="00D96644"/>
    <w:rsid w:val="00D96AEA"/>
    <w:rsid w:val="00DA013C"/>
    <w:rsid w:val="00DA2BA3"/>
    <w:rsid w:val="00DA3C5F"/>
    <w:rsid w:val="00DA44A2"/>
    <w:rsid w:val="00DB044F"/>
    <w:rsid w:val="00DB0C9D"/>
    <w:rsid w:val="00DB2AA6"/>
    <w:rsid w:val="00DB3D7C"/>
    <w:rsid w:val="00DB50C3"/>
    <w:rsid w:val="00DB7812"/>
    <w:rsid w:val="00DC000A"/>
    <w:rsid w:val="00DC032C"/>
    <w:rsid w:val="00DC0797"/>
    <w:rsid w:val="00DC1022"/>
    <w:rsid w:val="00DC148D"/>
    <w:rsid w:val="00DC1DF5"/>
    <w:rsid w:val="00DC1FCC"/>
    <w:rsid w:val="00DC30A9"/>
    <w:rsid w:val="00DC5899"/>
    <w:rsid w:val="00DC5EAF"/>
    <w:rsid w:val="00DC6C6B"/>
    <w:rsid w:val="00DC6E04"/>
    <w:rsid w:val="00DC7BB5"/>
    <w:rsid w:val="00DC7F4E"/>
    <w:rsid w:val="00DD0BF9"/>
    <w:rsid w:val="00DD357C"/>
    <w:rsid w:val="00DD5AAE"/>
    <w:rsid w:val="00DD5EF3"/>
    <w:rsid w:val="00DD646A"/>
    <w:rsid w:val="00DD7786"/>
    <w:rsid w:val="00DE11C1"/>
    <w:rsid w:val="00DE3E7D"/>
    <w:rsid w:val="00DE421F"/>
    <w:rsid w:val="00DE424E"/>
    <w:rsid w:val="00DE6F33"/>
    <w:rsid w:val="00DE7457"/>
    <w:rsid w:val="00DE7474"/>
    <w:rsid w:val="00DF0383"/>
    <w:rsid w:val="00DF321C"/>
    <w:rsid w:val="00DF40BA"/>
    <w:rsid w:val="00DF4355"/>
    <w:rsid w:val="00DF4D0E"/>
    <w:rsid w:val="00DF5E17"/>
    <w:rsid w:val="00DF5F55"/>
    <w:rsid w:val="00DF6A67"/>
    <w:rsid w:val="00DF6E91"/>
    <w:rsid w:val="00DF7ABC"/>
    <w:rsid w:val="00E00749"/>
    <w:rsid w:val="00E007A0"/>
    <w:rsid w:val="00E0182C"/>
    <w:rsid w:val="00E02C0C"/>
    <w:rsid w:val="00E02E2A"/>
    <w:rsid w:val="00E02F4B"/>
    <w:rsid w:val="00E03A97"/>
    <w:rsid w:val="00E040F5"/>
    <w:rsid w:val="00E05E12"/>
    <w:rsid w:val="00E07963"/>
    <w:rsid w:val="00E07F21"/>
    <w:rsid w:val="00E106F1"/>
    <w:rsid w:val="00E10948"/>
    <w:rsid w:val="00E1110E"/>
    <w:rsid w:val="00E11540"/>
    <w:rsid w:val="00E116B8"/>
    <w:rsid w:val="00E12022"/>
    <w:rsid w:val="00E129F8"/>
    <w:rsid w:val="00E13EF8"/>
    <w:rsid w:val="00E146A3"/>
    <w:rsid w:val="00E15F62"/>
    <w:rsid w:val="00E162FC"/>
    <w:rsid w:val="00E1767A"/>
    <w:rsid w:val="00E20127"/>
    <w:rsid w:val="00E20208"/>
    <w:rsid w:val="00E20B95"/>
    <w:rsid w:val="00E2172E"/>
    <w:rsid w:val="00E21F05"/>
    <w:rsid w:val="00E21FE5"/>
    <w:rsid w:val="00E24271"/>
    <w:rsid w:val="00E24BDA"/>
    <w:rsid w:val="00E25602"/>
    <w:rsid w:val="00E26064"/>
    <w:rsid w:val="00E3068B"/>
    <w:rsid w:val="00E31CC5"/>
    <w:rsid w:val="00E327DB"/>
    <w:rsid w:val="00E329C5"/>
    <w:rsid w:val="00E32AA5"/>
    <w:rsid w:val="00E33B04"/>
    <w:rsid w:val="00E33B92"/>
    <w:rsid w:val="00E344AA"/>
    <w:rsid w:val="00E35AFD"/>
    <w:rsid w:val="00E35E76"/>
    <w:rsid w:val="00E36738"/>
    <w:rsid w:val="00E36BC3"/>
    <w:rsid w:val="00E37C12"/>
    <w:rsid w:val="00E37E6C"/>
    <w:rsid w:val="00E401E3"/>
    <w:rsid w:val="00E406A5"/>
    <w:rsid w:val="00E4199D"/>
    <w:rsid w:val="00E430E0"/>
    <w:rsid w:val="00E438D6"/>
    <w:rsid w:val="00E449C0"/>
    <w:rsid w:val="00E45DA9"/>
    <w:rsid w:val="00E466A2"/>
    <w:rsid w:val="00E506AC"/>
    <w:rsid w:val="00E516BB"/>
    <w:rsid w:val="00E521BA"/>
    <w:rsid w:val="00E52501"/>
    <w:rsid w:val="00E529AE"/>
    <w:rsid w:val="00E52EB7"/>
    <w:rsid w:val="00E54C73"/>
    <w:rsid w:val="00E565B3"/>
    <w:rsid w:val="00E566AE"/>
    <w:rsid w:val="00E570C8"/>
    <w:rsid w:val="00E57595"/>
    <w:rsid w:val="00E57CD1"/>
    <w:rsid w:val="00E61825"/>
    <w:rsid w:val="00E61CA1"/>
    <w:rsid w:val="00E6264E"/>
    <w:rsid w:val="00E62E89"/>
    <w:rsid w:val="00E62EB1"/>
    <w:rsid w:val="00E64F0F"/>
    <w:rsid w:val="00E658D2"/>
    <w:rsid w:val="00E65C53"/>
    <w:rsid w:val="00E65C8F"/>
    <w:rsid w:val="00E668FB"/>
    <w:rsid w:val="00E66B18"/>
    <w:rsid w:val="00E66D10"/>
    <w:rsid w:val="00E70EF5"/>
    <w:rsid w:val="00E71060"/>
    <w:rsid w:val="00E721CF"/>
    <w:rsid w:val="00E731F9"/>
    <w:rsid w:val="00E7342B"/>
    <w:rsid w:val="00E7371C"/>
    <w:rsid w:val="00E74080"/>
    <w:rsid w:val="00E76513"/>
    <w:rsid w:val="00E77259"/>
    <w:rsid w:val="00E77842"/>
    <w:rsid w:val="00E8034E"/>
    <w:rsid w:val="00E8095E"/>
    <w:rsid w:val="00E81894"/>
    <w:rsid w:val="00E81A49"/>
    <w:rsid w:val="00E81ADB"/>
    <w:rsid w:val="00E8221A"/>
    <w:rsid w:val="00E831B8"/>
    <w:rsid w:val="00E83D18"/>
    <w:rsid w:val="00E84EA4"/>
    <w:rsid w:val="00E86A0C"/>
    <w:rsid w:val="00E8798F"/>
    <w:rsid w:val="00E87ABC"/>
    <w:rsid w:val="00E87B62"/>
    <w:rsid w:val="00E87CE4"/>
    <w:rsid w:val="00E9092F"/>
    <w:rsid w:val="00E90C60"/>
    <w:rsid w:val="00E91DCD"/>
    <w:rsid w:val="00E92200"/>
    <w:rsid w:val="00E94D3B"/>
    <w:rsid w:val="00E95994"/>
    <w:rsid w:val="00E96162"/>
    <w:rsid w:val="00E97E3B"/>
    <w:rsid w:val="00EA169C"/>
    <w:rsid w:val="00EA293C"/>
    <w:rsid w:val="00EA3F3C"/>
    <w:rsid w:val="00EA650E"/>
    <w:rsid w:val="00EA7317"/>
    <w:rsid w:val="00EA76A0"/>
    <w:rsid w:val="00EA78E0"/>
    <w:rsid w:val="00EA7C94"/>
    <w:rsid w:val="00EB0E13"/>
    <w:rsid w:val="00EB496F"/>
    <w:rsid w:val="00EB598E"/>
    <w:rsid w:val="00EB5BF9"/>
    <w:rsid w:val="00EC0B42"/>
    <w:rsid w:val="00EC201B"/>
    <w:rsid w:val="00EC2335"/>
    <w:rsid w:val="00EC3E0C"/>
    <w:rsid w:val="00EC55BE"/>
    <w:rsid w:val="00EC5705"/>
    <w:rsid w:val="00EC6A1B"/>
    <w:rsid w:val="00EC779B"/>
    <w:rsid w:val="00ED1791"/>
    <w:rsid w:val="00ED198D"/>
    <w:rsid w:val="00ED23B4"/>
    <w:rsid w:val="00ED30F5"/>
    <w:rsid w:val="00ED31CD"/>
    <w:rsid w:val="00ED3721"/>
    <w:rsid w:val="00ED3BE5"/>
    <w:rsid w:val="00ED57A1"/>
    <w:rsid w:val="00EE06EE"/>
    <w:rsid w:val="00EE0B84"/>
    <w:rsid w:val="00EE1074"/>
    <w:rsid w:val="00EE1978"/>
    <w:rsid w:val="00EE2541"/>
    <w:rsid w:val="00EE3447"/>
    <w:rsid w:val="00EE4496"/>
    <w:rsid w:val="00EE573F"/>
    <w:rsid w:val="00EE7040"/>
    <w:rsid w:val="00EE7418"/>
    <w:rsid w:val="00EE7C5D"/>
    <w:rsid w:val="00EF076B"/>
    <w:rsid w:val="00EF1A12"/>
    <w:rsid w:val="00EF1A97"/>
    <w:rsid w:val="00EF1C36"/>
    <w:rsid w:val="00EF20B7"/>
    <w:rsid w:val="00EF38EA"/>
    <w:rsid w:val="00EF5141"/>
    <w:rsid w:val="00EF59C7"/>
    <w:rsid w:val="00EF7A4A"/>
    <w:rsid w:val="00F00212"/>
    <w:rsid w:val="00F012BF"/>
    <w:rsid w:val="00F0152D"/>
    <w:rsid w:val="00F01CA0"/>
    <w:rsid w:val="00F028DF"/>
    <w:rsid w:val="00F03C2A"/>
    <w:rsid w:val="00F03F5A"/>
    <w:rsid w:val="00F0554D"/>
    <w:rsid w:val="00F06BA1"/>
    <w:rsid w:val="00F14DE0"/>
    <w:rsid w:val="00F15094"/>
    <w:rsid w:val="00F15CF2"/>
    <w:rsid w:val="00F17E04"/>
    <w:rsid w:val="00F20CAF"/>
    <w:rsid w:val="00F2105F"/>
    <w:rsid w:val="00F219CC"/>
    <w:rsid w:val="00F21E34"/>
    <w:rsid w:val="00F22DE1"/>
    <w:rsid w:val="00F239B9"/>
    <w:rsid w:val="00F242C3"/>
    <w:rsid w:val="00F2484D"/>
    <w:rsid w:val="00F24B6F"/>
    <w:rsid w:val="00F24C97"/>
    <w:rsid w:val="00F31604"/>
    <w:rsid w:val="00F31F13"/>
    <w:rsid w:val="00F321AB"/>
    <w:rsid w:val="00F32DA6"/>
    <w:rsid w:val="00F3318C"/>
    <w:rsid w:val="00F338F9"/>
    <w:rsid w:val="00F33F01"/>
    <w:rsid w:val="00F35233"/>
    <w:rsid w:val="00F363C4"/>
    <w:rsid w:val="00F366B1"/>
    <w:rsid w:val="00F3682D"/>
    <w:rsid w:val="00F37283"/>
    <w:rsid w:val="00F4052C"/>
    <w:rsid w:val="00F40934"/>
    <w:rsid w:val="00F411A7"/>
    <w:rsid w:val="00F4177D"/>
    <w:rsid w:val="00F42B9D"/>
    <w:rsid w:val="00F43631"/>
    <w:rsid w:val="00F443FD"/>
    <w:rsid w:val="00F445A8"/>
    <w:rsid w:val="00F45FA5"/>
    <w:rsid w:val="00F478BD"/>
    <w:rsid w:val="00F509AF"/>
    <w:rsid w:val="00F54B27"/>
    <w:rsid w:val="00F55373"/>
    <w:rsid w:val="00F55D58"/>
    <w:rsid w:val="00F56CA4"/>
    <w:rsid w:val="00F57D0F"/>
    <w:rsid w:val="00F61092"/>
    <w:rsid w:val="00F620F2"/>
    <w:rsid w:val="00F63957"/>
    <w:rsid w:val="00F63D06"/>
    <w:rsid w:val="00F64C2F"/>
    <w:rsid w:val="00F66397"/>
    <w:rsid w:val="00F669C6"/>
    <w:rsid w:val="00F67756"/>
    <w:rsid w:val="00F67C37"/>
    <w:rsid w:val="00F71028"/>
    <w:rsid w:val="00F7102A"/>
    <w:rsid w:val="00F717D1"/>
    <w:rsid w:val="00F71C87"/>
    <w:rsid w:val="00F71EEC"/>
    <w:rsid w:val="00F721BF"/>
    <w:rsid w:val="00F72E26"/>
    <w:rsid w:val="00F73AAA"/>
    <w:rsid w:val="00F75203"/>
    <w:rsid w:val="00F76547"/>
    <w:rsid w:val="00F76832"/>
    <w:rsid w:val="00F76E05"/>
    <w:rsid w:val="00F82867"/>
    <w:rsid w:val="00F850F1"/>
    <w:rsid w:val="00F9013D"/>
    <w:rsid w:val="00F91979"/>
    <w:rsid w:val="00F91D0D"/>
    <w:rsid w:val="00F9504E"/>
    <w:rsid w:val="00F95F2F"/>
    <w:rsid w:val="00F97061"/>
    <w:rsid w:val="00F97B71"/>
    <w:rsid w:val="00FA077D"/>
    <w:rsid w:val="00FA1A28"/>
    <w:rsid w:val="00FA33FF"/>
    <w:rsid w:val="00FA34A0"/>
    <w:rsid w:val="00FA45F2"/>
    <w:rsid w:val="00FA54C4"/>
    <w:rsid w:val="00FA5B66"/>
    <w:rsid w:val="00FA6CEA"/>
    <w:rsid w:val="00FA758B"/>
    <w:rsid w:val="00FB10C0"/>
    <w:rsid w:val="00FB3A58"/>
    <w:rsid w:val="00FB46C0"/>
    <w:rsid w:val="00FB5325"/>
    <w:rsid w:val="00FC15AC"/>
    <w:rsid w:val="00FC2767"/>
    <w:rsid w:val="00FC3DDC"/>
    <w:rsid w:val="00FC4003"/>
    <w:rsid w:val="00FC4863"/>
    <w:rsid w:val="00FC495E"/>
    <w:rsid w:val="00FC4DA5"/>
    <w:rsid w:val="00FC77A1"/>
    <w:rsid w:val="00FD18A7"/>
    <w:rsid w:val="00FD2ADB"/>
    <w:rsid w:val="00FD3BEF"/>
    <w:rsid w:val="00FD4BCB"/>
    <w:rsid w:val="00FD6151"/>
    <w:rsid w:val="00FD6256"/>
    <w:rsid w:val="00FD71B4"/>
    <w:rsid w:val="00FD7E22"/>
    <w:rsid w:val="00FE06D6"/>
    <w:rsid w:val="00FE34A8"/>
    <w:rsid w:val="00FE36B2"/>
    <w:rsid w:val="00FE3B45"/>
    <w:rsid w:val="00FE5329"/>
    <w:rsid w:val="00FE6042"/>
    <w:rsid w:val="00FF316F"/>
    <w:rsid w:val="00FF3302"/>
    <w:rsid w:val="00FF466D"/>
    <w:rsid w:val="00FF4B53"/>
    <w:rsid w:val="00FF5E6E"/>
    <w:rsid w:val="00FF5F38"/>
    <w:rsid w:val="00FF66C3"/>
    <w:rsid w:val="00FF779A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char;mso-position-vertical-relative:line" strokecolor="#009a77">
      <v:stroke color="#009a77"/>
      <o:colormru v:ext="edit" colors="#009a77,lime"/>
    </o:shapedefaults>
    <o:shapelayout v:ext="edit">
      <o:idmap v:ext="edit" data="2"/>
    </o:shapelayout>
  </w:shapeDefaults>
  <w:decimalSymbol w:val=","/>
  <w:listSeparator w:val=";"/>
  <w14:docId w14:val="4452CC5F"/>
  <w15:docId w15:val="{24C77304-9329-4574-AEA2-94411E60F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A110D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61D1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61D12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0C15D3"/>
    <w:rPr>
      <w:color w:val="0000FF"/>
      <w:u w:val="single"/>
    </w:rPr>
  </w:style>
  <w:style w:type="table" w:styleId="Tabela-Siatka">
    <w:name w:val="Table Grid"/>
    <w:basedOn w:val="Standardowy"/>
    <w:rsid w:val="00C21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ślnie"/>
    <w:rsid w:val="00E575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rsid w:val="00E57595"/>
    <w:pPr>
      <w:spacing w:after="120"/>
    </w:pPr>
    <w:rPr>
      <w:rFonts w:ascii="Times New Roman" w:hAnsi="Times New Roman" w:cs="Times New Roman"/>
      <w:sz w:val="20"/>
      <w:szCs w:val="20"/>
    </w:rPr>
  </w:style>
  <w:style w:type="paragraph" w:styleId="Tekstdymka">
    <w:name w:val="Balloon Text"/>
    <w:basedOn w:val="Normalny"/>
    <w:semiHidden/>
    <w:rsid w:val="003E5F6D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4168D1"/>
    <w:rPr>
      <w:rFonts w:ascii="Arial" w:hAnsi="Arial" w:cs="Arial"/>
      <w:sz w:val="22"/>
      <w:szCs w:val="22"/>
    </w:rPr>
  </w:style>
  <w:style w:type="paragraph" w:styleId="Akapitzlist">
    <w:name w:val="List Paragraph"/>
    <w:basedOn w:val="Normalny"/>
    <w:uiPriority w:val="99"/>
    <w:qFormat/>
    <w:rsid w:val="007E6D44"/>
    <w:pPr>
      <w:ind w:left="720"/>
      <w:contextualSpacing/>
    </w:pPr>
  </w:style>
  <w:style w:type="character" w:customStyle="1" w:styleId="NagwekZnak">
    <w:name w:val="Nagłówek Znak"/>
    <w:link w:val="Nagwek"/>
    <w:uiPriority w:val="99"/>
    <w:rsid w:val="00053C23"/>
    <w:rPr>
      <w:rFonts w:ascii="Arial" w:hAnsi="Arial" w:cs="Arial"/>
      <w:sz w:val="22"/>
      <w:szCs w:val="22"/>
    </w:rPr>
  </w:style>
  <w:style w:type="paragraph" w:customStyle="1" w:styleId="Tekstpodstawowy21">
    <w:name w:val="Tekst podstawowy 21"/>
    <w:basedOn w:val="Normalny"/>
    <w:rsid w:val="00006907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cs="Times New Roman"/>
      <w:szCs w:val="20"/>
    </w:rPr>
  </w:style>
  <w:style w:type="character" w:customStyle="1" w:styleId="Nagwek1Znak">
    <w:name w:val="Nagłówek 1 Znak"/>
    <w:basedOn w:val="Domylnaczcionkaakapitu"/>
    <w:link w:val="Nagwek1"/>
    <w:rsid w:val="00A110D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Normalny1">
    <w:name w:val="Normalny1"/>
    <w:basedOn w:val="Normalny"/>
    <w:rsid w:val="0037593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italic">
    <w:name w:val="italic"/>
    <w:basedOn w:val="Domylnaczcionkaakapitu"/>
    <w:rsid w:val="0037593F"/>
  </w:style>
  <w:style w:type="paragraph" w:styleId="Tekstprzypisukocowego">
    <w:name w:val="endnote text"/>
    <w:basedOn w:val="Normalny"/>
    <w:link w:val="TekstprzypisukocowegoZnak"/>
    <w:semiHidden/>
    <w:unhideWhenUsed/>
    <w:rsid w:val="00B2561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25617"/>
    <w:rPr>
      <w:rFonts w:ascii="Arial" w:hAnsi="Arial" w:cs="Arial"/>
    </w:rPr>
  </w:style>
  <w:style w:type="character" w:styleId="Odwoanieprzypisukocowego">
    <w:name w:val="endnote reference"/>
    <w:basedOn w:val="Domylnaczcionkaakapitu"/>
    <w:semiHidden/>
    <w:unhideWhenUsed/>
    <w:rsid w:val="00B25617"/>
    <w:rPr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rsid w:val="00DF5E17"/>
    <w:pPr>
      <w:tabs>
        <w:tab w:val="left" w:pos="1418"/>
        <w:tab w:val="right" w:leader="dot" w:pos="9854"/>
      </w:tabs>
      <w:spacing w:before="240" w:after="120"/>
      <w:ind w:left="1418" w:hanging="1418"/>
      <w:jc w:val="both"/>
    </w:pPr>
  </w:style>
  <w:style w:type="character" w:styleId="Odwoaniedokomentarza">
    <w:name w:val="annotation reference"/>
    <w:basedOn w:val="Domylnaczcionkaakapitu"/>
    <w:semiHidden/>
    <w:unhideWhenUsed/>
    <w:rsid w:val="0001528C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1528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1528C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152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1528C"/>
    <w:rPr>
      <w:rFonts w:ascii="Arial" w:hAnsi="Arial" w:cs="Arial"/>
      <w:b/>
      <w:bCs/>
    </w:rPr>
  </w:style>
  <w:style w:type="paragraph" w:customStyle="1" w:styleId="Default">
    <w:name w:val="Default"/>
    <w:rsid w:val="0035150C"/>
    <w:pPr>
      <w:autoSpaceDE w:val="0"/>
      <w:autoSpaceDN w:val="0"/>
      <w:adjustRightInd w:val="0"/>
    </w:pPr>
    <w:rPr>
      <w:rFonts w:ascii="PKO Bank Polski" w:hAnsi="PKO Bank Polski" w:cs="PKO Bank Polsk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F3318C"/>
    <w:rPr>
      <w:rFonts w:ascii="Arial" w:hAnsi="Arial" w:cs="Arial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4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shajnowk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shajnowk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shajnowk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7DAFE-117A-453A-99D4-E75DA731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2786</Words>
  <Characters>16722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2008-07-03</vt:lpstr>
    </vt:vector>
  </TitlesOfParts>
  <Company>Bank BPS S.A.</Company>
  <LinksUpToDate>false</LinksUpToDate>
  <CharactersWithSpaces>19470</CharactersWithSpaces>
  <SharedDoc>false</SharedDoc>
  <HLinks>
    <vt:vector size="6" baseType="variant">
      <vt:variant>
        <vt:i4>73</vt:i4>
      </vt:variant>
      <vt:variant>
        <vt:i4>0</vt:i4>
      </vt:variant>
      <vt:variant>
        <vt:i4>0</vt:i4>
      </vt:variant>
      <vt:variant>
        <vt:i4>5</vt:i4>
      </vt:variant>
      <vt:variant>
        <vt:lpwstr>http://m.in/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2008-07-03</dc:title>
  <dc:creator>Biuro Marketingu Banku BPS S.A.</dc:creator>
  <cp:lastModifiedBy>Joanna Golonko</cp:lastModifiedBy>
  <cp:revision>2</cp:revision>
  <cp:lastPrinted>2026-02-12T11:49:00Z</cp:lastPrinted>
  <dcterms:created xsi:type="dcterms:W3CDTF">2026-09-28T08:30:00Z</dcterms:created>
  <dcterms:modified xsi:type="dcterms:W3CDTF">2026-09-28T08:30:00Z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PSKATEGORIA">
    <vt:lpwstr>Ogolnodostepny</vt:lpwstr>
  </property>
  <property fmtid="{D5CDD505-2E9C-101B-9397-08002B2CF9AE}" pid="3" name="BPSClassifiedBy">
    <vt:lpwstr>BANK\maja.kraszewska;Maja Kraszewska</vt:lpwstr>
  </property>
  <property fmtid="{D5CDD505-2E9C-101B-9397-08002B2CF9AE}" pid="4" name="BPSClassificationDate">
    <vt:lpwstr>2018-03-01T11:24:28.5932838+01:00</vt:lpwstr>
  </property>
  <property fmtid="{D5CDD505-2E9C-101B-9397-08002B2CF9AE}" pid="5" name="BPSClassifiedBySID">
    <vt:lpwstr>BANK\S-1-5-21-2235066060-4034229115-1914166231-20210</vt:lpwstr>
  </property>
  <property fmtid="{D5CDD505-2E9C-101B-9397-08002B2CF9AE}" pid="6" name="BPSGRNItemId">
    <vt:lpwstr>GRN-f08bfdf7-890e-4e28-a051-733a7975a5dd</vt:lpwstr>
  </property>
  <property fmtid="{D5CDD505-2E9C-101B-9397-08002B2CF9AE}" pid="7" name="BPSRefresh">
    <vt:lpwstr>True</vt:lpwstr>
  </property>
  <property fmtid="{D5CDD505-2E9C-101B-9397-08002B2CF9AE}" pid="8" name="BPSHash">
    <vt:lpwstr>ElGh7TvcB6B92gghug4+TmGTRDLmuE93kMrRHT1VehQ=</vt:lpwstr>
  </property>
</Properties>
</file>