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8AF5" w14:textId="759F240B" w:rsidR="004C103A" w:rsidRPr="00DB130C" w:rsidRDefault="004C103A" w:rsidP="00DB130C">
      <w:pPr>
        <w:pStyle w:val="Nagwek1"/>
        <w:rPr>
          <w:rFonts w:cs="Calibri"/>
          <w:color w:val="000000"/>
          <w:szCs w:val="20"/>
        </w:rPr>
      </w:pPr>
      <w:r w:rsidRPr="0041413E">
        <w:t>KLAUZULA INFORMACYJNA</w:t>
      </w:r>
      <w:r w:rsidR="00E22D32">
        <w:t xml:space="preserve"> </w:t>
      </w:r>
      <w:r w:rsidR="005F22C4">
        <w:t xml:space="preserve">- </w:t>
      </w:r>
      <w:r w:rsidR="005F22C4" w:rsidRPr="005F22C4">
        <w:t>OSOBY FIZYCZNE NIEPROWADZĄCE DZIAŁALNOŚCI GOSPODARCZEJ</w:t>
      </w:r>
    </w:p>
    <w:p w14:paraId="21A5D631" w14:textId="77777777" w:rsidR="005F22C4" w:rsidRPr="005F22C4" w:rsidRDefault="005F22C4" w:rsidP="005F22C4"/>
    <w:p w14:paraId="7210ABBA" w14:textId="316E7806" w:rsidR="00E22D32" w:rsidRPr="002942D7" w:rsidRDefault="004C103A" w:rsidP="00E22D32">
      <w:pPr>
        <w:rPr>
          <w:rFonts w:cs="Calibri"/>
          <w:sz w:val="23"/>
          <w:szCs w:val="23"/>
        </w:rPr>
      </w:pPr>
      <w:bookmarkStart w:id="0" w:name="_Hlk152620285"/>
      <w:r w:rsidRPr="00E22D32">
        <w:rPr>
          <w:rFonts w:cs="Calibri"/>
          <w:sz w:val="23"/>
          <w:szCs w:val="23"/>
        </w:rPr>
        <w:t xml:space="preserve">Pani/Pana dane osobowe mogą być przekazywane </w:t>
      </w:r>
      <w:r w:rsidRPr="00D844D3">
        <w:rPr>
          <w:rFonts w:cs="Calibri"/>
          <w:sz w:val="23"/>
          <w:szCs w:val="23"/>
        </w:rPr>
        <w:t xml:space="preserve">przez </w:t>
      </w:r>
      <w:r w:rsidR="00D844D3" w:rsidRPr="00D844D3">
        <w:rPr>
          <w:rFonts w:cs="Calibri"/>
          <w:sz w:val="23"/>
          <w:szCs w:val="23"/>
        </w:rPr>
        <w:t>Bank Spółdzielczy w Hajnówce z siedzibą w Hajnówce przy ul. Piłsudskiego 12, 17-200 Hajnówka</w:t>
      </w:r>
      <w:r w:rsidR="0063007C" w:rsidRPr="00D844D3">
        <w:rPr>
          <w:rFonts w:cs="Calibri"/>
          <w:sz w:val="23"/>
          <w:szCs w:val="23"/>
        </w:rPr>
        <w:t xml:space="preserve"> </w:t>
      </w:r>
      <w:bookmarkEnd w:id="0"/>
      <w:r w:rsidR="00EA74C2" w:rsidRPr="00D844D3">
        <w:rPr>
          <w:rFonts w:cs="Calibri"/>
          <w:sz w:val="23"/>
          <w:szCs w:val="23"/>
        </w:rPr>
        <w:t>(d</w:t>
      </w:r>
      <w:r w:rsidR="00EA74C2" w:rsidRPr="00AF740D">
        <w:rPr>
          <w:rFonts w:cs="Calibri"/>
          <w:sz w:val="23"/>
          <w:szCs w:val="23"/>
        </w:rPr>
        <w:t>alej „</w:t>
      </w:r>
      <w:r w:rsidR="00EA74C2" w:rsidRPr="00AF740D">
        <w:rPr>
          <w:rFonts w:cs="Calibri"/>
          <w:b/>
          <w:sz w:val="23"/>
          <w:szCs w:val="23"/>
        </w:rPr>
        <w:t>Bank</w:t>
      </w:r>
      <w:proofErr w:type="gramStart"/>
      <w:r w:rsidR="00EA74C2" w:rsidRPr="00AF740D">
        <w:rPr>
          <w:rFonts w:cs="Calibri"/>
          <w:sz w:val="23"/>
          <w:szCs w:val="23"/>
        </w:rPr>
        <w:t xml:space="preserve">”) </w:t>
      </w:r>
      <w:r w:rsidR="00E22D32">
        <w:rPr>
          <w:rFonts w:cs="Calibri"/>
          <w:sz w:val="23"/>
          <w:szCs w:val="23"/>
        </w:rPr>
        <w:t xml:space="preserve"> </w:t>
      </w:r>
      <w:r w:rsidR="00E22D32" w:rsidRPr="002942D7">
        <w:rPr>
          <w:rFonts w:cs="Calibri"/>
          <w:sz w:val="23"/>
          <w:szCs w:val="23"/>
        </w:rPr>
        <w:t>na</w:t>
      </w:r>
      <w:proofErr w:type="gramEnd"/>
      <w:r w:rsidR="00E22D32" w:rsidRPr="002942D7">
        <w:rPr>
          <w:rFonts w:cs="Calibri"/>
          <w:sz w:val="23"/>
          <w:szCs w:val="23"/>
        </w:rPr>
        <w:t xml:space="preserve"> podstawie art.105 ust. 1 pkt 1c oraz art. 105 ust. 4 ustawy z dnia 29 sierpnia 1997 r. ustawy Prawo bankowe (dalej „</w:t>
      </w:r>
      <w:r w:rsidR="00E22D32" w:rsidRPr="002942D7">
        <w:rPr>
          <w:rFonts w:cs="Calibri"/>
          <w:b/>
          <w:sz w:val="23"/>
          <w:szCs w:val="23"/>
        </w:rPr>
        <w:t>Prawo bankowe</w:t>
      </w:r>
      <w:r w:rsidR="00E22D32" w:rsidRPr="002942D7">
        <w:rPr>
          <w:rFonts w:cs="Calibri"/>
          <w:sz w:val="23"/>
          <w:szCs w:val="23"/>
        </w:rPr>
        <w:t>”) – do Biura Informacji Kredytowej S.A. z siedzibą w Warszawie, ul. Zygmunta Modzelewskiego 77 A, 02-679 Warszawa (dalej „</w:t>
      </w:r>
      <w:r w:rsidR="00E22D32" w:rsidRPr="002942D7">
        <w:rPr>
          <w:rFonts w:cs="Calibri"/>
          <w:b/>
          <w:sz w:val="23"/>
          <w:szCs w:val="23"/>
        </w:rPr>
        <w:t>BIK</w:t>
      </w:r>
      <w:r w:rsidR="00E22D32" w:rsidRPr="002942D7">
        <w:rPr>
          <w:rFonts w:cs="Calibri"/>
          <w:sz w:val="23"/>
          <w:szCs w:val="23"/>
        </w:rPr>
        <w:t xml:space="preserve">”). </w:t>
      </w:r>
      <w:r w:rsidR="00E22D32" w:rsidRPr="002942D7">
        <w:rPr>
          <w:rFonts w:cs="Calibri"/>
          <w:sz w:val="23"/>
          <w:szCs w:val="23"/>
        </w:rPr>
        <w:br/>
        <w:t xml:space="preserve">W związku z powyższym </w:t>
      </w:r>
      <w:r w:rsidR="00E22D32" w:rsidRPr="002942D7">
        <w:rPr>
          <w:rFonts w:cs="Calibri"/>
          <w:b/>
          <w:sz w:val="23"/>
          <w:szCs w:val="23"/>
        </w:rPr>
        <w:t>BIK</w:t>
      </w:r>
      <w:r w:rsidR="00E22D32" w:rsidRPr="002942D7">
        <w:rPr>
          <w:rFonts w:cs="Calibri"/>
          <w:sz w:val="23"/>
          <w:szCs w:val="23"/>
        </w:rPr>
        <w:t xml:space="preserve"> – obok </w:t>
      </w:r>
      <w:r w:rsidR="00E22D32" w:rsidRPr="002942D7">
        <w:rPr>
          <w:rFonts w:cs="Calibri"/>
          <w:b/>
          <w:sz w:val="23"/>
          <w:szCs w:val="23"/>
        </w:rPr>
        <w:t>Banku</w:t>
      </w:r>
      <w:r w:rsidR="00E22D32" w:rsidRPr="002942D7">
        <w:rPr>
          <w:rFonts w:cs="Calibri"/>
          <w:sz w:val="23"/>
          <w:szCs w:val="23"/>
        </w:rPr>
        <w:t xml:space="preserve"> – staje się administratorem Pani/Pana danych osobowych. Poniżej przedstawiamy podstawowe informacje dotyczące przetwarzania Pani/Pana danych osobowych przez </w:t>
      </w:r>
      <w:r w:rsidR="00E22D32" w:rsidRPr="002942D7">
        <w:rPr>
          <w:rFonts w:cs="Calibri"/>
          <w:b/>
          <w:sz w:val="23"/>
          <w:szCs w:val="23"/>
        </w:rPr>
        <w:t>BIK</w:t>
      </w:r>
      <w:r w:rsidR="00E22D32" w:rsidRPr="002942D7">
        <w:rPr>
          <w:rFonts w:cs="Calibri"/>
          <w:sz w:val="23"/>
          <w:szCs w:val="23"/>
        </w:rPr>
        <w:t>.</w:t>
      </w:r>
    </w:p>
    <w:p w14:paraId="0498EBAB" w14:textId="77777777" w:rsidR="00E22D32" w:rsidRPr="002942D7" w:rsidRDefault="00E22D32" w:rsidP="00E22D32">
      <w:pPr>
        <w:rPr>
          <w:rFonts w:cs="Calibri"/>
          <w:sz w:val="23"/>
          <w:szCs w:val="23"/>
        </w:rPr>
      </w:pP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1"/>
        <w:gridCol w:w="7620"/>
      </w:tblGrid>
      <w:tr w:rsidR="00E22D32" w:rsidRPr="002942D7" w14:paraId="706301E9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5C494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Administrator danych 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34A38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b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Administratorem Pani/Pana danych osobowych jest Biuro Informacji Kredytowej S.A. z siedzibą w Warszawie, ul. Zygmunta Modzelewskiego 77A, 02-679 Warszawa (BIK)</w:t>
            </w:r>
          </w:p>
        </w:tc>
      </w:tr>
      <w:tr w:rsidR="00E22D32" w:rsidRPr="002942D7" w14:paraId="014AAEB0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30FF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Dane kontaktowe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747D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Z </w:t>
            </w: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można się skontaktować poprzez adres e-mail: </w:t>
            </w:r>
            <w:hyperlink r:id="rId10" w:history="1">
              <w:r w:rsidRPr="002942D7">
                <w:rPr>
                  <w:rFonts w:cs="Calibri"/>
                  <w:color w:val="E36C0A"/>
                  <w:sz w:val="23"/>
                  <w:szCs w:val="23"/>
                  <w:lang w:eastAsia="ar-SA"/>
                </w:rPr>
                <w:t>kontakt@bik.pl</w:t>
              </w:r>
            </w:hyperlink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, lub pisemnie (BIK S.A., 02-679 Warszawa, ul. Zygmunta Modzelewskiego 77A). W </w:t>
            </w: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wyznaczony jest inspektor ochrony danych, z którym można się skontaktować poprzez e-mail: </w:t>
            </w:r>
            <w:r w:rsidRPr="002942D7">
              <w:rPr>
                <w:rFonts w:cs="Calibri"/>
                <w:color w:val="E36C0A"/>
                <w:sz w:val="23"/>
                <w:szCs w:val="23"/>
                <w:lang w:eastAsia="ar-SA"/>
              </w:rPr>
              <w:t>iod@bik.pl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lub pisemnie (Inspektor Ochrony Danych, BIK S.A., 02-679 Warszawa, ul. Zygmunta Modzelewskiego 77A). Z inspektorem ochrony danych można się kontaktować we wszystkich sprawach dotyczących przetwarzania danych osobowych oraz korzystania z praw związanych z przetwarzaniem danych.</w:t>
            </w:r>
          </w:p>
        </w:tc>
      </w:tr>
      <w:tr w:rsidR="00E22D32" w:rsidRPr="002942D7" w14:paraId="730E3E00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5029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Cele przetwarzania oraz podstawa prawna przetwarzania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ED8B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Pani/Pana dane będą przetwarzane przez </w:t>
            </w: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w celach:</w:t>
            </w:r>
          </w:p>
          <w:p w14:paraId="1C14B8C4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wykonywania czynności bankowych, w szczególności oceny zdolności kredytowej i analizy ryzyka kredytowego, w tym z wykorzystaniem automatycznego przetwarzania danych i profilowania (ocena punktowa) – podstawą prawną przetwarzania danych osobowych są przepisy Prawa bankowego</w:t>
            </w:r>
            <w:r w:rsidRPr="002942D7">
              <w:rPr>
                <w:rFonts w:cs="Calibri"/>
                <w:sz w:val="23"/>
                <w:szCs w:val="23"/>
              </w:rPr>
              <w:t>;</w:t>
            </w:r>
          </w:p>
          <w:p w14:paraId="6200E91B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statystycznych i analiz, których wynikiem nie są dane osobowe i wynik ten nie służy za podstawę podejmowania decyzji dotyczących konkretnych osób fizycznych – podstawą prawną przetwarzania danych osobowych </w:t>
            </w:r>
            <w:r w:rsidRPr="002942D7">
              <w:rPr>
                <w:rFonts w:cs="Calibri"/>
                <w:sz w:val="23"/>
                <w:szCs w:val="23"/>
              </w:rPr>
              <w:t>jest prawnie uzasadniony interes administratora danych wynikający z przepisów Prawa bankowego;</w:t>
            </w:r>
          </w:p>
          <w:p w14:paraId="57FB8999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w celu stosowania metod wewnętrznych oraz innych metod i modeli, o których mowa w art. 105a ust. 4 Prawa bankowego – podstawą przetwarzania danych osobowych jest przepis Prawa bankowego;</w:t>
            </w:r>
          </w:p>
          <w:p w14:paraId="67DA95C9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w celu rozpatrywania Pani/Pana potencjalnych reklamacji i zgłoszonych roszczeń – podstawą prawną przetwarzania danych osobowych jest prawnie uzasadniony interes administratora danych, polegający na rozpatrzeniu zgłoszenia będącego przedmiotem reklamacji oraz obrony przez potencjalnymi roszczeniami.</w:t>
            </w:r>
          </w:p>
          <w:p w14:paraId="47B12CBE" w14:textId="77777777" w:rsidR="00E22D32" w:rsidRPr="002942D7" w:rsidRDefault="00E22D32" w:rsidP="00F74679">
            <w:pPr>
              <w:pStyle w:val="Akapitzlist"/>
              <w:ind w:left="425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BIK może podejmować decyzje oparte na zautomatyzowanym przetwarzaniu danych, w tym profilowaniu, tj. wyliczać oceny punktowe w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lastRenderedPageBreak/>
              <w:t>celu oceny zdolności kredytowej i analizy ryzyka kredytowego przez banki i inne instytucje wymienione w art.105a ust.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1a Prawa bankowego. Ocena punktowa jest obliczana na podstawie historii kredytowej, którą przekazują do BIK 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podmioty sektora bankowego lub </w:t>
            </w:r>
            <w:proofErr w:type="spellStart"/>
            <w:r>
              <w:rPr>
                <w:rFonts w:cs="Calibri"/>
                <w:sz w:val="23"/>
                <w:szCs w:val="23"/>
                <w:lang w:eastAsia="ar-SA"/>
              </w:rPr>
              <w:t>niebankowego</w:t>
            </w:r>
            <w:proofErr w:type="spellEnd"/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. 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Ocena punktowa pobrana przez banki z BIK może być jednym z bardzo wielu elementów branych pod uwagę przy podejmowaniu przez banki decyzji o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>zawarciu lub odmowie zawarcia umowy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. Gdy bank zadecyduje o bezpośrednim wykorzystaniu oceny punktowej pobranej przez niego z BIK do podjęcia decyzji o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>zawarciu lub odmowie zawarcia umowy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, wówczas ta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ocena punktowa może mieć decydujący wpływ na podjęcie przez bank 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tej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>decyzji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. </w:t>
            </w:r>
          </w:p>
        </w:tc>
      </w:tr>
      <w:tr w:rsidR="00E22D32" w:rsidRPr="002942D7" w14:paraId="4F015182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830F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lastRenderedPageBreak/>
              <w:t>Kategorie przetwarzanych danych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99011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przetwarza Pani/Pana dane osobowe w zakresie:</w:t>
            </w:r>
          </w:p>
          <w:p w14:paraId="3928D02A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</w:rPr>
              <w:t>dane identyfikujące osobę: PESEL/NIP, imię, nazwisko, dane dotyczące dokumentów tożsamości, nazwisko rodowe, nazwisko panieńskie matki, imię ojca, imię matki, data urodzenia, miejsce urodzenia, obywatelstwo, płeć;</w:t>
            </w:r>
          </w:p>
          <w:p w14:paraId="6DC6BBFD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</w:rPr>
            </w:pPr>
            <w:r w:rsidRPr="002942D7">
              <w:rPr>
                <w:rFonts w:cs="Calibri"/>
                <w:sz w:val="23"/>
                <w:szCs w:val="23"/>
              </w:rPr>
              <w:t>dane adresowe i teleadresowe</w:t>
            </w:r>
            <w:r>
              <w:rPr>
                <w:rFonts w:cs="Calibri"/>
                <w:sz w:val="23"/>
                <w:szCs w:val="23"/>
              </w:rPr>
              <w:t>;</w:t>
            </w:r>
          </w:p>
          <w:p w14:paraId="7C26C5DA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</w:rPr>
            </w:pPr>
            <w:r w:rsidRPr="002942D7">
              <w:rPr>
                <w:rFonts w:cs="Calibri"/>
                <w:sz w:val="23"/>
                <w:szCs w:val="23"/>
              </w:rPr>
              <w:t xml:space="preserve">dane </w:t>
            </w:r>
            <w:proofErr w:type="spellStart"/>
            <w:r w:rsidRPr="002942D7">
              <w:rPr>
                <w:rFonts w:cs="Calibri"/>
                <w:sz w:val="23"/>
                <w:szCs w:val="23"/>
              </w:rPr>
              <w:t>socjo</w:t>
            </w:r>
            <w:proofErr w:type="spellEnd"/>
            <w:r w:rsidRPr="002942D7">
              <w:rPr>
                <w:rFonts w:cs="Calibri"/>
                <w:sz w:val="23"/>
                <w:szCs w:val="23"/>
              </w:rPr>
              <w:t xml:space="preserve">-demograficzne: informacje o zatrudnieniu lub prowadzonej działalności gospodarczej, wykształcenie, dochody i wydatki, stan cywilny, </w:t>
            </w:r>
            <w:r w:rsidRPr="002942D7">
              <w:rPr>
                <w:rFonts w:cs="Calibri"/>
                <w:color w:val="333333"/>
                <w:sz w:val="23"/>
                <w:szCs w:val="23"/>
                <w:shd w:val="clear" w:color="auto" w:fill="FFFFFF"/>
              </w:rPr>
              <w:t>liczba osób w gospodarstwie domowym, ustrój majątkowy małżonków;</w:t>
            </w:r>
          </w:p>
          <w:p w14:paraId="76814097" w14:textId="77777777" w:rsidR="00E22D32" w:rsidRPr="00E926B9" w:rsidRDefault="00E22D32" w:rsidP="00E22D32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</w:rPr>
            </w:pPr>
            <w:r w:rsidRPr="00E926B9">
              <w:rPr>
                <w:rFonts w:cs="Calibri"/>
                <w:sz w:val="23"/>
                <w:szCs w:val="23"/>
                <w:lang w:eastAsia="ar-SA"/>
              </w:rPr>
              <w:t>dane wynikające z zapytań przekazanych do BIK;</w:t>
            </w:r>
          </w:p>
          <w:p w14:paraId="5797DF8F" w14:textId="77777777" w:rsidR="00E22D32" w:rsidRPr="002942D7" w:rsidRDefault="00E22D32" w:rsidP="00E22D32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 w:rsidRPr="002942D7">
              <w:rPr>
                <w:rFonts w:cs="Calibri"/>
                <w:sz w:val="23"/>
                <w:szCs w:val="23"/>
              </w:rPr>
              <w:t xml:space="preserve">dane dotyczące zobowiązania: </w:t>
            </w:r>
            <w:r w:rsidRPr="002942D7">
              <w:rPr>
                <w:rFonts w:cs="Calibri"/>
                <w:color w:val="333333"/>
                <w:sz w:val="23"/>
                <w:szCs w:val="23"/>
              </w:rPr>
              <w:t xml:space="preserve">źródło zobowiązania, kwota i waluta, numer i stan rachunku, data powstania zobowiązania, warunki spłaty zobowiązania, cel finansowania, zabezpieczenie prawne i przedmiot zabezpieczenia, przebieg realizacji zobowiązania, stan zadłużenia z tytułu zobowiązania na dzień wygaśnięcia zobowiązania, data wygaśnięcia zobowiązania, przyczyny niewykonania zobowiązania lub dopuszczenia się zwłoki, o której mowa w </w:t>
            </w:r>
            <w:r w:rsidRPr="002942D7">
              <w:rPr>
                <w:rFonts w:cs="Calibri"/>
                <w:sz w:val="23"/>
                <w:szCs w:val="23"/>
              </w:rPr>
              <w:t>art. 105a ust. 3</w:t>
            </w:r>
            <w:r w:rsidRPr="002942D7">
              <w:rPr>
                <w:rFonts w:cs="Calibri"/>
                <w:color w:val="333333"/>
                <w:sz w:val="23"/>
                <w:szCs w:val="23"/>
              </w:rPr>
              <w:t xml:space="preserve"> ustawy Prawo bankowe, przyczyny wygaśnięcia zobowiązania, decyzja kredytowa i dane dotyczące wniosków kredytowych</w:t>
            </w:r>
            <w:r>
              <w:rPr>
                <w:rFonts w:cs="Calibri"/>
                <w:color w:val="333333"/>
                <w:sz w:val="23"/>
                <w:szCs w:val="23"/>
              </w:rPr>
              <w:t>;</w:t>
            </w:r>
          </w:p>
          <w:p w14:paraId="786850C8" w14:textId="77777777" w:rsidR="00E22D32" w:rsidRPr="00F51B4B" w:rsidRDefault="00E22D32" w:rsidP="00E22D32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>
              <w:rPr>
                <w:rFonts w:eastAsia="Calibri" w:cs="Calibri"/>
                <w:sz w:val="23"/>
                <w:szCs w:val="23"/>
              </w:rPr>
              <w:t xml:space="preserve">informacje dotyczące </w:t>
            </w:r>
            <w:r w:rsidRPr="000B1F48">
              <w:rPr>
                <w:rFonts w:eastAsia="Calibri" w:cs="Calibri"/>
                <w:sz w:val="23"/>
                <w:szCs w:val="23"/>
              </w:rPr>
              <w:t>zaleg</w:t>
            </w:r>
            <w:r>
              <w:rPr>
                <w:rFonts w:eastAsia="Calibri" w:cs="Calibri"/>
                <w:sz w:val="23"/>
                <w:szCs w:val="23"/>
              </w:rPr>
              <w:t xml:space="preserve">łości </w:t>
            </w:r>
            <w:r w:rsidRPr="000B1F48">
              <w:rPr>
                <w:rFonts w:eastAsia="Calibri" w:cs="Calibri"/>
                <w:sz w:val="23"/>
                <w:szCs w:val="23"/>
              </w:rPr>
              <w:t>zapłat</w:t>
            </w:r>
            <w:r>
              <w:rPr>
                <w:rFonts w:eastAsia="Calibri" w:cs="Calibri"/>
                <w:sz w:val="23"/>
                <w:szCs w:val="23"/>
              </w:rPr>
              <w:t>y</w:t>
            </w:r>
            <w:r w:rsidRPr="000B1F48">
              <w:rPr>
                <w:rFonts w:eastAsia="Calibri" w:cs="Calibri"/>
                <w:sz w:val="23"/>
                <w:szCs w:val="23"/>
              </w:rPr>
              <w:t xml:space="preserve"> należności pieniężnych podlegających egzekucji administracyjnej</w:t>
            </w:r>
            <w:r>
              <w:rPr>
                <w:rFonts w:eastAsia="Calibri" w:cs="Calibri"/>
                <w:sz w:val="23"/>
                <w:szCs w:val="23"/>
              </w:rPr>
              <w:t xml:space="preserve">: </w:t>
            </w:r>
            <w:r w:rsidRPr="000B1F48">
              <w:rPr>
                <w:rFonts w:eastAsia="Calibri" w:cs="Calibri"/>
                <w:sz w:val="23"/>
                <w:szCs w:val="23"/>
              </w:rPr>
              <w:t>informacje o należnościach publicznoprawnych, tj. należnościach pieniężnych podlegających egzekucji administracyjnej, których wierzycielami są naczelnicy urzędów skarbowych albo jednostki samorządu terytorialnego</w:t>
            </w:r>
            <w:r>
              <w:rPr>
                <w:rFonts w:eastAsia="Calibri" w:cs="Calibri"/>
                <w:sz w:val="23"/>
                <w:szCs w:val="23"/>
              </w:rPr>
              <w:t>;</w:t>
            </w:r>
          </w:p>
          <w:p w14:paraId="54EFEEB5" w14:textId="77777777" w:rsidR="00E22D32" w:rsidRPr="002942D7" w:rsidRDefault="00E22D32" w:rsidP="00E22D32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 w:rsidRPr="002942D7">
              <w:rPr>
                <w:rFonts w:cs="Calibri"/>
                <w:color w:val="333333"/>
                <w:sz w:val="23"/>
                <w:szCs w:val="23"/>
              </w:rPr>
              <w:t>informacja o upadłości konsumenckiej</w:t>
            </w:r>
            <w:r>
              <w:rPr>
                <w:rFonts w:cs="Calibri"/>
                <w:color w:val="333333"/>
                <w:sz w:val="23"/>
                <w:szCs w:val="23"/>
              </w:rPr>
              <w:t>;</w:t>
            </w:r>
          </w:p>
          <w:p w14:paraId="13A57EE2" w14:textId="77777777" w:rsidR="00E22D32" w:rsidRPr="002942D7" w:rsidRDefault="00E22D32" w:rsidP="00E22D32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 w:rsidRPr="002942D7">
              <w:rPr>
                <w:rFonts w:cs="Calibri"/>
                <w:color w:val="333333"/>
                <w:sz w:val="23"/>
                <w:szCs w:val="23"/>
              </w:rPr>
              <w:t>informacja o upadłości i restrukturyzacji</w:t>
            </w:r>
            <w:r>
              <w:rPr>
                <w:rFonts w:cs="Calibri"/>
                <w:color w:val="333333"/>
                <w:sz w:val="23"/>
                <w:szCs w:val="23"/>
              </w:rPr>
              <w:t>.</w:t>
            </w:r>
          </w:p>
        </w:tc>
      </w:tr>
      <w:tr w:rsidR="00E22D32" w:rsidRPr="002942D7" w14:paraId="17A892E9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0C4EB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Źródło pochodzenia danych 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12EF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BIK pozyskuje Pani/Pana dane osobowe:</w:t>
            </w:r>
          </w:p>
          <w:p w14:paraId="01763112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1. z Banku</w:t>
            </w:r>
          </w:p>
          <w:p w14:paraId="2E454124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2. z dostępnych publicznie państwowych rejestrów i publikatorów tj. z Monitora Sądowego i Gospodarczego/ Krajowego Rejestru Zadłużonych. </w:t>
            </w:r>
          </w:p>
          <w:p w14:paraId="31E0C9C0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</w:p>
        </w:tc>
      </w:tr>
      <w:tr w:rsidR="00E22D32" w:rsidRPr="002942D7" w14:paraId="2CADE22E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A50D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lastRenderedPageBreak/>
              <w:t>Okres przez który dane będą przetwarzane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A43D" w14:textId="77777777" w:rsidR="00E22D32" w:rsidRPr="002942D7" w:rsidRDefault="00E22D32" w:rsidP="00F74679">
            <w:pPr>
              <w:rPr>
                <w:rFonts w:cs="Calibri"/>
                <w:b/>
                <w:sz w:val="23"/>
                <w:szCs w:val="23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Pani/Pana dane osobowe będą przetwarzane przez </w:t>
            </w: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</w:p>
          <w:p w14:paraId="3F297AB2" w14:textId="77777777" w:rsidR="00E22D32" w:rsidRPr="002942D7" w:rsidRDefault="00E22D32" w:rsidP="00F74679">
            <w:pPr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b/>
                <w:sz w:val="23"/>
                <w:szCs w:val="23"/>
                <w:lang w:eastAsia="ar-SA"/>
              </w:rPr>
              <w:t>Pozyskane z banków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>:</w:t>
            </w:r>
          </w:p>
          <w:p w14:paraId="3554E3E5" w14:textId="77777777" w:rsidR="00E22D32" w:rsidRDefault="00E22D32" w:rsidP="00E22D3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dla celów wykonywania czynności bankowych, w szczególności dokonywania oceny zdolności kredytowej i analizy ryzyka kredytowego – przez okres trwania Pani/Pana zobowiązania, a po jego wygaśnięciu – tylko w przypadku wyrażenia przez Panią/Pana zgody lub spełnienia warunków, o których mowa w art. 105a ust. 3 Prawa bankowego, przy czy</w:t>
            </w:r>
            <w:r>
              <w:rPr>
                <w:rFonts w:cs="Calibri"/>
                <w:sz w:val="23"/>
                <w:szCs w:val="23"/>
                <w:lang w:eastAsia="ar-SA"/>
              </w:rPr>
              <w:t>m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w żadnym wypadku nie dłużej niż przez okres 5 lat po wygaśnięciu zobowiązania, </w:t>
            </w:r>
            <w:r w:rsidRPr="002942D7">
              <w:rPr>
                <w:rFonts w:cs="Calibri"/>
                <w:sz w:val="23"/>
                <w:szCs w:val="23"/>
              </w:rPr>
              <w:t>a w zakresie danych wynikających z zapytania</w:t>
            </w:r>
            <w:r>
              <w:rPr>
                <w:rFonts w:cs="Calibri"/>
                <w:sz w:val="23"/>
                <w:szCs w:val="23"/>
              </w:rPr>
              <w:t xml:space="preserve"> kredytowego </w:t>
            </w:r>
            <w:r w:rsidRPr="002942D7">
              <w:rPr>
                <w:rFonts w:cs="Calibri"/>
                <w:sz w:val="23"/>
                <w:szCs w:val="23"/>
              </w:rPr>
              <w:t>przekazanego do BIK</w:t>
            </w:r>
            <w:r>
              <w:rPr>
                <w:rFonts w:cs="Calibri"/>
                <w:sz w:val="23"/>
                <w:szCs w:val="23"/>
              </w:rPr>
              <w:t>:</w:t>
            </w:r>
            <w:r w:rsidRPr="002942D7">
              <w:rPr>
                <w:rFonts w:cs="Calibri"/>
                <w:sz w:val="23"/>
                <w:szCs w:val="23"/>
              </w:rPr>
              <w:t xml:space="preserve"> </w:t>
            </w:r>
          </w:p>
          <w:p w14:paraId="14B79658" w14:textId="77777777" w:rsidR="00E22D32" w:rsidRDefault="00E22D32" w:rsidP="00E22D32">
            <w:pPr>
              <w:pStyle w:val="Akapitzlist"/>
              <w:numPr>
                <w:ilvl w:val="1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>
              <w:rPr>
                <w:rFonts w:cs="Calibri"/>
                <w:sz w:val="23"/>
                <w:szCs w:val="23"/>
              </w:rPr>
              <w:t xml:space="preserve">gdy </w:t>
            </w:r>
            <w:r w:rsidRPr="00F43259">
              <w:rPr>
                <w:rFonts w:cs="Calibri"/>
                <w:sz w:val="23"/>
                <w:szCs w:val="23"/>
                <w:lang w:eastAsia="ar-SA"/>
              </w:rPr>
              <w:t>zapytanie zakończyło się udzieleniem kredyt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u </w:t>
            </w:r>
            <w:r w:rsidRPr="002942D7">
              <w:rPr>
                <w:rFonts w:cs="Calibri"/>
                <w:sz w:val="23"/>
                <w:szCs w:val="23"/>
              </w:rPr>
              <w:t xml:space="preserve">przez okres nie dłuższy niż </w:t>
            </w:r>
            <w:r>
              <w:rPr>
                <w:rFonts w:cs="Calibri"/>
                <w:sz w:val="23"/>
                <w:szCs w:val="23"/>
              </w:rPr>
              <w:t>okres przetwarzania danych o zobowiązaniu kredytowym, udzielonym w związku z tym zapytaniem</w:t>
            </w:r>
            <w:r w:rsidRPr="002942D7">
              <w:rPr>
                <w:rFonts w:cs="Calibri"/>
                <w:sz w:val="23"/>
                <w:szCs w:val="23"/>
              </w:rPr>
              <w:t>, z tym, że dane te będą udostępnianie przez okres nie dłuższy niż 12 miesięcy od ich przekazania</w:t>
            </w:r>
            <w:r>
              <w:rPr>
                <w:rFonts w:cs="Calibri"/>
                <w:sz w:val="23"/>
                <w:szCs w:val="23"/>
              </w:rPr>
              <w:t>,</w:t>
            </w:r>
          </w:p>
          <w:p w14:paraId="620F72C0" w14:textId="77777777" w:rsidR="00E22D32" w:rsidRDefault="00E22D32" w:rsidP="00E22D32">
            <w:pPr>
              <w:pStyle w:val="Akapitzlist"/>
              <w:numPr>
                <w:ilvl w:val="1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>
              <w:rPr>
                <w:rFonts w:cs="Calibri"/>
                <w:sz w:val="23"/>
                <w:szCs w:val="23"/>
              </w:rPr>
              <w:t xml:space="preserve">gdy </w:t>
            </w:r>
            <w:r w:rsidRPr="00F43259">
              <w:rPr>
                <w:rFonts w:cs="Calibri"/>
                <w:sz w:val="23"/>
                <w:szCs w:val="23"/>
                <w:lang w:eastAsia="ar-SA"/>
              </w:rPr>
              <w:t xml:space="preserve">zapytanie 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nie </w:t>
            </w:r>
            <w:r w:rsidRPr="00F43259">
              <w:rPr>
                <w:rFonts w:cs="Calibri"/>
                <w:sz w:val="23"/>
                <w:szCs w:val="23"/>
                <w:lang w:eastAsia="ar-SA"/>
              </w:rPr>
              <w:t>zakończyło się udzieleniem kredyt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u co do zasady nie dłużej niż </w:t>
            </w:r>
            <w:r w:rsidRPr="00F43259">
              <w:rPr>
                <w:rFonts w:cs="Calibri"/>
                <w:sz w:val="23"/>
                <w:szCs w:val="23"/>
                <w:lang w:eastAsia="ar-SA"/>
              </w:rPr>
              <w:t>14 dni od daty rejestracji zapytania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 lub 90 dni w przypadku przekazania do BIK przez bank informacji o dłuższym procesowaniu wniosku kredytowego lub dacie ważności decyzji kredytowej;</w:t>
            </w:r>
          </w:p>
          <w:p w14:paraId="05B22637" w14:textId="77777777" w:rsidR="00E22D32" w:rsidRDefault="00E22D32" w:rsidP="00E22D3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dla celów stosowania metod wewnętrznych oraz innych metod i modeli, o których mowa w art. 105a ust. 4 Prawa bankowego – przez okres trwania zobowiązania oraz przez okres 12 lat od wygaśnięcia zobowiązania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, a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w zakresie danych wynikających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br/>
              <w:t>z zapytania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 kredytowego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>przekazanego do BIK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, które zakończyło się udzieleniem kredytu </w:t>
            </w:r>
            <w:r w:rsidRPr="002942D7">
              <w:rPr>
                <w:rFonts w:cs="Calibri"/>
                <w:sz w:val="23"/>
                <w:szCs w:val="23"/>
              </w:rPr>
              <w:t>przez okres nie dłuższy niż 10 lat od jego przekazania</w:t>
            </w:r>
            <w:r>
              <w:rPr>
                <w:rFonts w:cs="Calibri"/>
                <w:sz w:val="23"/>
                <w:szCs w:val="23"/>
              </w:rPr>
              <w:t>, a dla zapytań innych niż kredytowe przez okres nie dłuższy niż 49 miesięcy;</w:t>
            </w:r>
          </w:p>
          <w:p w14:paraId="1E70C621" w14:textId="77777777" w:rsidR="00E22D32" w:rsidRPr="002942D7" w:rsidRDefault="00E22D32" w:rsidP="00E22D3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dla celów statystycznych i analiz – przez okres nie dłuższy niż okres przetwarzania Pani/Pana danych osobowych w celach określonych w powyższych punktach;</w:t>
            </w:r>
          </w:p>
          <w:p w14:paraId="676D91AA" w14:textId="77777777" w:rsidR="00E22D32" w:rsidRPr="002942D7" w:rsidRDefault="00E22D32" w:rsidP="00E22D32">
            <w:pPr>
              <w:numPr>
                <w:ilvl w:val="0"/>
                <w:numId w:val="16"/>
              </w:numPr>
              <w:contextualSpacing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dla celów rozpatrywania Pani/Pana reklamacji i zgłoszonych roszczeń – do momentu przedawnienia Pani/Pana potencjalnych roszczeń wynikających z umowy lub z innego tytułu.</w:t>
            </w:r>
          </w:p>
          <w:p w14:paraId="717A1101" w14:textId="77777777" w:rsidR="00E22D32" w:rsidRPr="002942D7" w:rsidRDefault="00E22D32" w:rsidP="00F74679">
            <w:pPr>
              <w:ind w:left="720"/>
              <w:contextualSpacing/>
              <w:rPr>
                <w:rFonts w:cs="Calibri"/>
                <w:sz w:val="23"/>
                <w:szCs w:val="23"/>
                <w:lang w:eastAsia="ar-SA"/>
              </w:rPr>
            </w:pPr>
          </w:p>
          <w:p w14:paraId="72EB42EE" w14:textId="77777777" w:rsidR="00E22D32" w:rsidRPr="002942D7" w:rsidRDefault="00E22D32" w:rsidP="00F74679">
            <w:pPr>
              <w:contextualSpacing/>
              <w:rPr>
                <w:rFonts w:cs="Calibri"/>
                <w:b/>
                <w:bCs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b/>
                <w:bCs/>
                <w:sz w:val="23"/>
                <w:szCs w:val="23"/>
                <w:lang w:eastAsia="ar-SA"/>
              </w:rPr>
              <w:t xml:space="preserve">Pozyskane z publicznych rejestrów: </w:t>
            </w:r>
          </w:p>
          <w:p w14:paraId="46739022" w14:textId="77777777" w:rsidR="00E22D32" w:rsidRPr="002942D7" w:rsidRDefault="00E22D32" w:rsidP="00E22D32">
            <w:pPr>
              <w:numPr>
                <w:ilvl w:val="0"/>
                <w:numId w:val="16"/>
              </w:numPr>
              <w:contextualSpacing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Dane osobowe będziemy przetwarzać co do zasady przez okres publikacji danych w Monitorze Sądowym i Gospodarczym lub/oraz Krajowym Rejestrze Zadłużonych, wynikającym z odrębnych przepisów regulujących funkcjonowanie tych publikatorów, jednak nie dłużej niż 10 lat od dnia publikacji obwieszczenia lub ogłoszenia zawierającego dane osobowe w tym publikatorze - szczegóły dostępne są na stronie </w:t>
            </w:r>
            <w:hyperlink r:id="rId11" w:history="1">
              <w:r w:rsidRPr="002942D7">
                <w:rPr>
                  <w:rStyle w:val="Hipercze"/>
                  <w:rFonts w:cs="Calibri"/>
                  <w:sz w:val="23"/>
                  <w:szCs w:val="23"/>
                  <w:lang w:eastAsia="ar-SA"/>
                </w:rPr>
                <w:t>www.bik.pl/rejestry</w:t>
              </w:r>
            </w:hyperlink>
          </w:p>
          <w:p w14:paraId="5A6D42F0" w14:textId="77777777" w:rsidR="00E22D32" w:rsidRPr="002942D7" w:rsidRDefault="00E22D32" w:rsidP="00F74679">
            <w:pPr>
              <w:contextualSpacing/>
              <w:rPr>
                <w:rFonts w:cs="Calibri"/>
                <w:sz w:val="23"/>
                <w:szCs w:val="23"/>
                <w:lang w:eastAsia="ar-SA"/>
              </w:rPr>
            </w:pPr>
          </w:p>
        </w:tc>
      </w:tr>
      <w:tr w:rsidR="00E22D32" w:rsidRPr="002942D7" w14:paraId="22117965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AD541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lastRenderedPageBreak/>
              <w:t>Odbiorcy danych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F095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Pani/Pana dane osobowe mogą być udostępniane przez </w:t>
            </w: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podmiotom uprawnionym do ich otrzymania na mocy obowiązujących przepisów prawa, w tym podmiotom wymienionym w art. 105 ust. 4 i 4d Prawa bankowego, a także do rejestr</w:t>
            </w:r>
            <w:r>
              <w:rPr>
                <w:rFonts w:cs="Calibri"/>
                <w:sz w:val="23"/>
                <w:szCs w:val="23"/>
                <w:lang w:eastAsia="ar-SA"/>
              </w:rPr>
              <w:t>ów państwowych w tym do Rejestru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PESEL, Rejestru zastrzeżeń numerów PESEL</w:t>
            </w:r>
            <w:r>
              <w:rPr>
                <w:rFonts w:cs="Calibri"/>
                <w:sz w:val="23"/>
                <w:szCs w:val="23"/>
                <w:lang w:eastAsia="ar-SA"/>
              </w:rPr>
              <w:t>,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 Rejestru Dowodów Osobistych 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lub Rejestru Należności Publicznoprawnych 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 xml:space="preserve">w celu weryfikacji poprawności przekazanych danych osobowych, oraz innym podmiotom współpracującym z </w:t>
            </w:r>
            <w:r w:rsidRPr="002942D7">
              <w:rPr>
                <w:rFonts w:cs="Calibri"/>
                <w:b/>
                <w:sz w:val="23"/>
                <w:szCs w:val="23"/>
              </w:rPr>
              <w:t>BIK</w:t>
            </w:r>
            <w:r w:rsidRPr="002942D7">
              <w:rPr>
                <w:rFonts w:cs="Calibri"/>
                <w:sz w:val="23"/>
                <w:szCs w:val="23"/>
                <w:lang w:eastAsia="ar-SA"/>
              </w:rPr>
              <w:t>, o ile taki podmiot dysponuje Pani/Pana zgodą. Pani/Pana dane osobowe mogą być także przekazywane podmiotom przetwarzającym dane w imieniu BIK, takim jak dostawcy usług informatycznych – przy czym takie podmioty przetwarzają dane jako podwykonawcy, na podstawie umowy z BIK i wyłącznie zgodnie z poleceniami BIK.</w:t>
            </w:r>
          </w:p>
        </w:tc>
      </w:tr>
      <w:tr w:rsidR="00E22D32" w:rsidRPr="00B94873" w14:paraId="4DC7B0E7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D583" w14:textId="77777777" w:rsidR="00E22D32" w:rsidRPr="002942D7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Prawa osoby, której dane dotyczą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DB073" w14:textId="77777777" w:rsidR="00E22D32" w:rsidRPr="002942D7" w:rsidRDefault="00E22D32" w:rsidP="00F74679">
            <w:pPr>
              <w:tabs>
                <w:tab w:val="left" w:pos="2410"/>
              </w:tabs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Przysługuje Pani/Panu prawo dostępu do Pani/Pana danych oraz prawo żądania ich sprostowania, usunięcia, ograniczenia przetwarzania. W zakresie, w jakim podstawą przetwarzania Pani/Pana danych osobowych jest przesłanka prawnie uzasadnionego interesu administratora, przysługuje Pani/Panu prawo wniesienia sprzeciwu wobec przetwarzania Pani/Pana danych osobowych.</w:t>
            </w:r>
          </w:p>
          <w:p w14:paraId="4AB6E58C" w14:textId="77777777" w:rsidR="00E22D32" w:rsidRPr="002942D7" w:rsidRDefault="00E22D32" w:rsidP="00F74679">
            <w:pPr>
              <w:tabs>
                <w:tab w:val="left" w:pos="2410"/>
              </w:tabs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W zakresie, w jakim podstawą przetwarzania Pani/Pana danych osobowych jest zgoda, ma Pani/Pan prawo wycofania zgody. Wycofanie zgody nie ma wpływu na zgodność z prawem przetwarzania, którego dokonano na podstawie zgody przed jej wycofaniem.</w:t>
            </w:r>
          </w:p>
          <w:p w14:paraId="6591076B" w14:textId="77777777" w:rsidR="00E22D32" w:rsidRPr="002942D7" w:rsidRDefault="00E22D32" w:rsidP="00F74679">
            <w:pPr>
              <w:tabs>
                <w:tab w:val="left" w:pos="2410"/>
              </w:tabs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W zakresie, w jakim Pani/Pana dane są przetwarzane w celu zawarcia i wykonywania umowy lub przetwarzane na podstawie zgody – przysługuje Pani/Panu także prawo do przenoszenia danych osobowych, tj. do otrzymania od administratora Pani/Pana danych osobowych, w ustrukturyzowanym, powszechnie używanym formacie nadającym się do odczytu maszynowego. Może Pani/Pan przesłać te dane innemu administratorowi danych. Uprawnienie do przenoszenia danych nie dotyczy danych, które stanowią tajemnicę przedsiębiorstwa.</w:t>
            </w:r>
          </w:p>
          <w:p w14:paraId="07D692BA" w14:textId="77777777" w:rsidR="00E22D32" w:rsidRPr="00B94873" w:rsidRDefault="00E22D32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2942D7">
              <w:rPr>
                <w:rFonts w:cs="Calibri"/>
                <w:sz w:val="23"/>
                <w:szCs w:val="23"/>
                <w:lang w:eastAsia="ar-SA"/>
              </w:rPr>
              <w:t>Przysługuje Pani/Panu również prawo wniesienia skargi do organu nadzorczego zajmującego się ochroną danych osobowych.</w:t>
            </w:r>
          </w:p>
        </w:tc>
      </w:tr>
    </w:tbl>
    <w:p w14:paraId="00DA64C4" w14:textId="77777777" w:rsidR="00E22D32" w:rsidRPr="00B94873" w:rsidRDefault="00E22D32" w:rsidP="00E22D32">
      <w:pPr>
        <w:rPr>
          <w:rFonts w:cs="Calibri"/>
          <w:sz w:val="23"/>
          <w:szCs w:val="23"/>
        </w:rPr>
      </w:pPr>
    </w:p>
    <w:p w14:paraId="55585452" w14:textId="77777777" w:rsidR="00E22D32" w:rsidRPr="00AE20A6" w:rsidRDefault="00E22D32" w:rsidP="00E22D32">
      <w:pPr>
        <w:pStyle w:val="Tekstpodstawowywcity2"/>
        <w:spacing w:line="276" w:lineRule="auto"/>
        <w:ind w:left="284"/>
        <w:rPr>
          <w:rFonts w:ascii="Calibri" w:hAnsi="Calibri" w:cs="Calibri"/>
          <w:b/>
          <w:sz w:val="23"/>
          <w:szCs w:val="23"/>
        </w:rPr>
      </w:pPr>
    </w:p>
    <w:p w14:paraId="516C86F9" w14:textId="77777777" w:rsidR="004C103A" w:rsidRDefault="004C103A" w:rsidP="00DA59E7">
      <w:pPr>
        <w:rPr>
          <w:rFonts w:cs="Calibri"/>
          <w:szCs w:val="20"/>
        </w:rPr>
      </w:pPr>
    </w:p>
    <w:p w14:paraId="777C9896" w14:textId="77777777" w:rsidR="00DB130C" w:rsidRDefault="00DB130C" w:rsidP="00DA59E7">
      <w:pPr>
        <w:rPr>
          <w:rFonts w:cs="Calibri"/>
          <w:szCs w:val="20"/>
        </w:rPr>
      </w:pPr>
    </w:p>
    <w:p w14:paraId="6F0CF599" w14:textId="77777777" w:rsidR="00DB130C" w:rsidRDefault="00DB130C" w:rsidP="00DA59E7">
      <w:pPr>
        <w:rPr>
          <w:rFonts w:cs="Calibri"/>
          <w:szCs w:val="20"/>
        </w:rPr>
      </w:pPr>
    </w:p>
    <w:p w14:paraId="5A2E555D" w14:textId="77777777" w:rsidR="00DB130C" w:rsidRDefault="00DB130C" w:rsidP="00DA59E7">
      <w:pPr>
        <w:rPr>
          <w:rFonts w:cs="Calibri"/>
          <w:szCs w:val="20"/>
        </w:rPr>
      </w:pPr>
    </w:p>
    <w:p w14:paraId="5B8FB107" w14:textId="77777777" w:rsidR="00DB130C" w:rsidRDefault="00DB130C" w:rsidP="00DA59E7">
      <w:pPr>
        <w:rPr>
          <w:rFonts w:cs="Calibri"/>
          <w:szCs w:val="20"/>
        </w:rPr>
      </w:pPr>
    </w:p>
    <w:p w14:paraId="0BAABBA9" w14:textId="77777777" w:rsidR="00DB130C" w:rsidRDefault="00DB130C" w:rsidP="00DA59E7">
      <w:pPr>
        <w:rPr>
          <w:rFonts w:cs="Calibri"/>
          <w:szCs w:val="20"/>
        </w:rPr>
      </w:pPr>
    </w:p>
    <w:p w14:paraId="5693E278" w14:textId="77777777" w:rsidR="00DB130C" w:rsidRDefault="00DB130C" w:rsidP="00DA59E7">
      <w:pPr>
        <w:rPr>
          <w:rFonts w:cs="Calibri"/>
          <w:szCs w:val="20"/>
        </w:rPr>
      </w:pPr>
    </w:p>
    <w:p w14:paraId="767F4142" w14:textId="77777777" w:rsidR="000A03B3" w:rsidRDefault="000A03B3" w:rsidP="00DA59E7">
      <w:pPr>
        <w:rPr>
          <w:rFonts w:cs="Calibri"/>
          <w:szCs w:val="20"/>
        </w:rPr>
      </w:pPr>
    </w:p>
    <w:p w14:paraId="5254C85A" w14:textId="77777777" w:rsidR="000A03B3" w:rsidRDefault="000A03B3" w:rsidP="00DA59E7">
      <w:pPr>
        <w:rPr>
          <w:rFonts w:cs="Calibri"/>
          <w:szCs w:val="20"/>
        </w:rPr>
      </w:pPr>
    </w:p>
    <w:p w14:paraId="546714A2" w14:textId="77777777" w:rsidR="000A03B3" w:rsidRDefault="000A03B3" w:rsidP="00DA59E7">
      <w:pPr>
        <w:rPr>
          <w:rFonts w:cs="Calibri"/>
          <w:szCs w:val="20"/>
        </w:rPr>
      </w:pPr>
    </w:p>
    <w:p w14:paraId="4791EF64" w14:textId="77777777" w:rsidR="000A03B3" w:rsidRDefault="000A03B3" w:rsidP="00DA59E7">
      <w:pPr>
        <w:rPr>
          <w:rFonts w:cs="Calibri"/>
          <w:szCs w:val="20"/>
        </w:rPr>
      </w:pPr>
    </w:p>
    <w:p w14:paraId="5768B7DE" w14:textId="77777777" w:rsidR="000A03B3" w:rsidRDefault="000A03B3" w:rsidP="00DA59E7">
      <w:pPr>
        <w:rPr>
          <w:rFonts w:cs="Calibri"/>
          <w:szCs w:val="20"/>
        </w:rPr>
      </w:pPr>
    </w:p>
    <w:p w14:paraId="430227FA" w14:textId="77777777" w:rsidR="00DB130C" w:rsidRDefault="00DB130C" w:rsidP="00DA59E7">
      <w:pPr>
        <w:rPr>
          <w:rFonts w:cs="Calibri"/>
          <w:szCs w:val="20"/>
        </w:rPr>
      </w:pPr>
    </w:p>
    <w:p w14:paraId="0AF7B513" w14:textId="77777777" w:rsidR="000A03B3" w:rsidRDefault="000A03B3" w:rsidP="00DB130C">
      <w:pPr>
        <w:pStyle w:val="Nagwek1"/>
      </w:pPr>
    </w:p>
    <w:p w14:paraId="48E07A4E" w14:textId="77777777" w:rsidR="000A03B3" w:rsidRDefault="000A03B3" w:rsidP="00DB130C">
      <w:pPr>
        <w:pStyle w:val="Nagwek1"/>
      </w:pPr>
    </w:p>
    <w:p w14:paraId="632E7228" w14:textId="5BEA5C36" w:rsidR="00DB130C" w:rsidRDefault="00DB130C" w:rsidP="00DB130C">
      <w:pPr>
        <w:pStyle w:val="Nagwek1"/>
      </w:pPr>
      <w:r w:rsidRPr="00B81D29">
        <w:t>KLAUZULA INFORMACYJNA</w:t>
      </w:r>
      <w:r w:rsidRPr="00EA74C2">
        <w:t xml:space="preserve"> – PRZEDSIĘBIORCY</w:t>
      </w:r>
    </w:p>
    <w:p w14:paraId="07DE5063" w14:textId="77777777" w:rsidR="00DB130C" w:rsidRPr="00EA74C2" w:rsidRDefault="00DB130C" w:rsidP="00DB130C"/>
    <w:p w14:paraId="76BE8FFF" w14:textId="1A6B515B" w:rsidR="00DB130C" w:rsidRPr="00AF740D" w:rsidRDefault="00DB130C" w:rsidP="00DB130C">
      <w:pPr>
        <w:rPr>
          <w:rFonts w:cs="Calibri"/>
          <w:sz w:val="23"/>
          <w:szCs w:val="23"/>
        </w:rPr>
      </w:pPr>
      <w:r w:rsidRPr="00EA74C2">
        <w:rPr>
          <w:rFonts w:cs="Calibri"/>
          <w:sz w:val="23"/>
          <w:szCs w:val="23"/>
        </w:rPr>
        <w:t>Pani/Pana dane osobowe mogą być przekazywane przez</w:t>
      </w:r>
      <w:r w:rsidR="00D844D3">
        <w:rPr>
          <w:rFonts w:cs="Calibri"/>
          <w:sz w:val="23"/>
          <w:szCs w:val="23"/>
        </w:rPr>
        <w:t xml:space="preserve"> </w:t>
      </w:r>
      <w:r w:rsidR="00D844D3" w:rsidRPr="00D844D3">
        <w:rPr>
          <w:rFonts w:cs="Calibri"/>
          <w:sz w:val="23"/>
          <w:szCs w:val="23"/>
        </w:rPr>
        <w:t>Bank Spółdzielczy w Hajnówce z siedzibą w Hajnówce przy ul. Piłsudskiego 12, 17-200 Hajnówka</w:t>
      </w:r>
      <w:r w:rsidR="00D844D3">
        <w:rPr>
          <w:rFonts w:cs="Calibri"/>
          <w:sz w:val="23"/>
          <w:szCs w:val="23"/>
        </w:rPr>
        <w:t xml:space="preserve"> </w:t>
      </w:r>
      <w:r w:rsidRPr="00AF740D">
        <w:rPr>
          <w:rFonts w:cs="Calibri"/>
          <w:sz w:val="23"/>
          <w:szCs w:val="23"/>
        </w:rPr>
        <w:t>(dalej „</w:t>
      </w:r>
      <w:r w:rsidRPr="00AF740D">
        <w:rPr>
          <w:rFonts w:cs="Calibri"/>
          <w:b/>
          <w:sz w:val="23"/>
          <w:szCs w:val="23"/>
        </w:rPr>
        <w:t>Bank</w:t>
      </w:r>
      <w:r w:rsidRPr="00AF740D">
        <w:rPr>
          <w:rFonts w:cs="Calibri"/>
          <w:sz w:val="23"/>
          <w:szCs w:val="23"/>
        </w:rPr>
        <w:t>”) na podstawie art.105 ust. 1 pkt 1c oraz art. 105 ust. 4 ustawy z dnia 29 sierpnia 1997 r. ustawy Prawo bankowe (dalej „</w:t>
      </w:r>
      <w:r w:rsidRPr="00AF740D">
        <w:rPr>
          <w:rFonts w:cs="Calibri"/>
          <w:b/>
          <w:sz w:val="23"/>
          <w:szCs w:val="23"/>
        </w:rPr>
        <w:t>Prawo bankowe</w:t>
      </w:r>
      <w:r w:rsidRPr="00AF740D">
        <w:rPr>
          <w:rFonts w:cs="Calibri"/>
          <w:sz w:val="23"/>
          <w:szCs w:val="23"/>
        </w:rPr>
        <w:t>”) – do Biura Informacji Kredytowej S.A. z siedzibą w Warszawie, ul. Zygmunta Modzelewskiego 77a, 02-679 Warszawa (dalej „</w:t>
      </w:r>
      <w:r w:rsidRPr="00AF740D">
        <w:rPr>
          <w:rFonts w:cs="Calibri"/>
          <w:b/>
          <w:sz w:val="23"/>
          <w:szCs w:val="23"/>
        </w:rPr>
        <w:t>BIK</w:t>
      </w:r>
      <w:r w:rsidRPr="00AF740D">
        <w:rPr>
          <w:rFonts w:cs="Calibri"/>
          <w:sz w:val="23"/>
          <w:szCs w:val="23"/>
        </w:rPr>
        <w:t xml:space="preserve">”). </w:t>
      </w:r>
    </w:p>
    <w:p w14:paraId="07A72605" w14:textId="77777777" w:rsidR="00DB130C" w:rsidRPr="00AF740D" w:rsidRDefault="00DB130C" w:rsidP="00DB130C">
      <w:pPr>
        <w:rPr>
          <w:rFonts w:cs="Calibri"/>
          <w:sz w:val="23"/>
          <w:szCs w:val="23"/>
        </w:rPr>
      </w:pPr>
      <w:r w:rsidRPr="00AF740D">
        <w:rPr>
          <w:rFonts w:cs="Calibri"/>
          <w:sz w:val="23"/>
          <w:szCs w:val="23"/>
        </w:rPr>
        <w:t xml:space="preserve">W związku z powyższym </w:t>
      </w:r>
      <w:r w:rsidRPr="00AF740D">
        <w:rPr>
          <w:rFonts w:cs="Calibri"/>
          <w:b/>
          <w:sz w:val="23"/>
          <w:szCs w:val="23"/>
        </w:rPr>
        <w:t>BIK</w:t>
      </w:r>
      <w:r w:rsidRPr="00AF740D">
        <w:rPr>
          <w:rFonts w:cs="Calibri"/>
          <w:sz w:val="23"/>
          <w:szCs w:val="23"/>
        </w:rPr>
        <w:t xml:space="preserve"> – obok </w:t>
      </w:r>
      <w:r w:rsidRPr="00AF740D">
        <w:rPr>
          <w:rFonts w:cs="Calibri"/>
          <w:b/>
          <w:sz w:val="23"/>
          <w:szCs w:val="23"/>
        </w:rPr>
        <w:t>Banku</w:t>
      </w:r>
      <w:r w:rsidRPr="00AF740D">
        <w:rPr>
          <w:rFonts w:cs="Calibri"/>
          <w:sz w:val="23"/>
          <w:szCs w:val="23"/>
        </w:rPr>
        <w:t xml:space="preserve"> – staje się administratorem Pani/Pana danych osobowych. Poniżej przedstawiamy podstawowe informacje dotyczące przetwarzania Pani/Pana danych osobowych przez </w:t>
      </w:r>
      <w:r w:rsidRPr="00AF740D">
        <w:rPr>
          <w:rFonts w:cs="Calibri"/>
          <w:b/>
          <w:sz w:val="23"/>
          <w:szCs w:val="23"/>
        </w:rPr>
        <w:t>BIK</w:t>
      </w:r>
      <w:r w:rsidRPr="00AF740D">
        <w:rPr>
          <w:rFonts w:cs="Calibri"/>
          <w:sz w:val="23"/>
          <w:szCs w:val="23"/>
        </w:rPr>
        <w:t>.</w:t>
      </w:r>
    </w:p>
    <w:p w14:paraId="326A5560" w14:textId="77777777" w:rsidR="00DB130C" w:rsidRPr="00AF740D" w:rsidRDefault="00DB130C" w:rsidP="00DB130C">
      <w:pPr>
        <w:rPr>
          <w:rFonts w:cs="Calibri"/>
          <w:sz w:val="23"/>
          <w:szCs w:val="23"/>
        </w:rPr>
      </w:pPr>
    </w:p>
    <w:tbl>
      <w:tblPr>
        <w:tblW w:w="8931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1"/>
        <w:gridCol w:w="6770"/>
      </w:tblGrid>
      <w:tr w:rsidR="00DB130C" w:rsidRPr="00AF740D" w14:paraId="1DF81069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0942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Administrator danych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0A74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b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Administratorem Pani/Pana danych osobowych jest Biuro Informacji Kredytowej S.A. z siedzibą w Warszawie, ul. Zygmunta Modzelewskiego 77A, 02-679 Warszawa (BIK)</w:t>
            </w:r>
          </w:p>
        </w:tc>
      </w:tr>
      <w:tr w:rsidR="00DB130C" w:rsidRPr="00AF740D" w14:paraId="76F081F6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40D2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Dane kontaktowe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865D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Z </w:t>
            </w: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można się skontaktować poprzez adres e-mail: </w:t>
            </w:r>
            <w:hyperlink r:id="rId12" w:history="1">
              <w:r w:rsidRPr="00AF740D">
                <w:rPr>
                  <w:rFonts w:cs="Calibri"/>
                  <w:color w:val="E36C0A"/>
                  <w:sz w:val="23"/>
                  <w:szCs w:val="23"/>
                  <w:lang w:eastAsia="ar-SA"/>
                </w:rPr>
                <w:t>kontakt@bik.pl</w:t>
              </w:r>
            </w:hyperlink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, lub pisemnie (BIK S.A., 02-679 Warszawa, ul. Zygmunta Modzelewskiego 77A). W </w:t>
            </w: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wyznaczony jest inspektor ochrony danych, z którym można się skontaktować poprzez e-mail: </w:t>
            </w:r>
            <w:r w:rsidRPr="00AF740D">
              <w:rPr>
                <w:rFonts w:cs="Calibri"/>
                <w:color w:val="E36C0A"/>
                <w:sz w:val="23"/>
                <w:szCs w:val="23"/>
                <w:lang w:eastAsia="ar-SA"/>
              </w:rPr>
              <w:t>iod@bik.pl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lub pisemnie (Inspektor Ochrony Danych, BIK S.A., 02-679 Warszawa, ul. Zygmunta Modzelewskiego 77A). Z inspektorem ochrony danych można się kontaktować we wszystkich sprawach dotyczących przetwarzania danych osobowych oraz korzystania z praw związanych z przetwarzaniem danych.</w:t>
            </w:r>
          </w:p>
        </w:tc>
      </w:tr>
      <w:tr w:rsidR="00DB130C" w:rsidRPr="00AF740D" w14:paraId="38E8E027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6B4F4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Cele przetwarzania oraz podstawa prawna przetwarzania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AE6A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Pani/Pana dane będą przetwarzane przez </w:t>
            </w: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w celach:</w:t>
            </w:r>
          </w:p>
          <w:p w14:paraId="6657CDB4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wykonywania czynności bankowych, w szczególności oceny zdolności kredytowej i analizy ryzyka kredytowego, w tym, </w:t>
            </w:r>
            <w:proofErr w:type="gramStart"/>
            <w:r w:rsidRPr="00AF740D">
              <w:rPr>
                <w:rFonts w:cs="Calibri"/>
                <w:sz w:val="23"/>
                <w:szCs w:val="23"/>
                <w:lang w:eastAsia="ar-SA"/>
              </w:rPr>
              <w:t>z  wykorzystaniem</w:t>
            </w:r>
            <w:proofErr w:type="gramEnd"/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automatycznego przetwarzania danych i profilowania (ocena punktowa, tzw. </w:t>
            </w:r>
            <w:proofErr w:type="spellStart"/>
            <w:proofErr w:type="gramStart"/>
            <w:r w:rsidRPr="00AF740D">
              <w:rPr>
                <w:rFonts w:cs="Calibri"/>
                <w:sz w:val="23"/>
                <w:szCs w:val="23"/>
                <w:lang w:eastAsia="ar-SA"/>
              </w:rPr>
              <w:t>scoring</w:t>
            </w:r>
            <w:proofErr w:type="spellEnd"/>
            <w:r w:rsidRPr="00AF740D">
              <w:rPr>
                <w:rFonts w:cs="Calibri"/>
                <w:sz w:val="23"/>
                <w:szCs w:val="23"/>
                <w:lang w:eastAsia="ar-SA"/>
              </w:rPr>
              <w:t>)  –</w:t>
            </w:r>
            <w:proofErr w:type="gramEnd"/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podstawą prawną przetwarzania danych osobowych są przepisy Prawa bankowego</w:t>
            </w:r>
            <w:r w:rsidRPr="00AF740D">
              <w:rPr>
                <w:rFonts w:cs="Calibri"/>
                <w:sz w:val="23"/>
                <w:szCs w:val="23"/>
              </w:rPr>
              <w:t>;</w:t>
            </w:r>
          </w:p>
          <w:p w14:paraId="517B713E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statystycznych i analiz, których wynikiem nie są dane osobowe i wynik ten nie służy za podstawę podejmowania decyzji dotyczących konkretnych osób fizycznych – podstawą prawną przetwarzania danych osobowych </w:t>
            </w:r>
            <w:r w:rsidRPr="00AF740D">
              <w:rPr>
                <w:rFonts w:cs="Calibri"/>
                <w:sz w:val="23"/>
                <w:szCs w:val="23"/>
              </w:rPr>
              <w:t>jest prawnie uzasadniony interes administratora danych wynikający z przepisów Prawa bankowego;</w:t>
            </w:r>
          </w:p>
          <w:p w14:paraId="07B44539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w celu stosowania metod wewnętrznych oraz innych metod i modeli, o których mowa w art. 105a ust. 4 Prawa bankowego – podstawą przetwarzania danych osobowych jest przepis Prawa bankowego;</w:t>
            </w:r>
          </w:p>
          <w:p w14:paraId="29D04C30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ind w:left="425" w:hanging="284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w celu rozpatrywania Pani/Pana potencjalnych reklamacji i zgłoszonych roszczeń – podstawą prawną przetwarzania danych osobowych jest prawnie uzasadniony interes administratora 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lastRenderedPageBreak/>
              <w:t>danych, polegający na rozpatrzeniu zgłoszenia będącego przedmiotem reklamacji oraz obrony przez potencjalnymi roszczeniami.</w:t>
            </w:r>
          </w:p>
          <w:p w14:paraId="370794EC" w14:textId="77777777" w:rsidR="00DB130C" w:rsidRPr="00AF740D" w:rsidRDefault="00DB130C" w:rsidP="00F74679">
            <w:pPr>
              <w:pStyle w:val="Akapitzlist"/>
              <w:ind w:left="425"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BIK może podejmować decyzje oparte na zautomatyzowanym przetwarzaniu danych, w tym profilowaniu, tj. wyliczać oceny punktowe (ang. </w:t>
            </w:r>
            <w:proofErr w:type="spellStart"/>
            <w:proofErr w:type="gramStart"/>
            <w:r w:rsidRPr="00AF740D">
              <w:rPr>
                <w:rFonts w:cs="Calibri"/>
                <w:sz w:val="23"/>
                <w:szCs w:val="23"/>
                <w:lang w:eastAsia="ar-SA"/>
              </w:rPr>
              <w:t>scoring</w:t>
            </w:r>
            <w:proofErr w:type="spellEnd"/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)</w:t>
            </w:r>
            <w:proofErr w:type="gramEnd"/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w </w:t>
            </w:r>
            <w:proofErr w:type="gramStart"/>
            <w:r w:rsidRPr="00AF740D">
              <w:rPr>
                <w:rFonts w:cs="Calibri"/>
                <w:sz w:val="23"/>
                <w:szCs w:val="23"/>
                <w:lang w:eastAsia="ar-SA"/>
              </w:rPr>
              <w:t>celu  oceny</w:t>
            </w:r>
            <w:proofErr w:type="gramEnd"/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zdolności kredytowej i analizy ryzyka kredytowego przez banki i inne instytucje wymienione w art.105a ust.1a Prawa bankowego. Ocena punktowa jest obliczana na podstawie historii kredytowej, którą przekazują do BIK banki i SKOK-i. W niektórych przypadkach ocena punktowa może mieć decydujący wpływ na podjęcie przez bank lub inną instytucję finansową decyzji o zawarciu lub odmowie zawarcia umowy.</w:t>
            </w:r>
          </w:p>
        </w:tc>
      </w:tr>
      <w:tr w:rsidR="00DB130C" w:rsidRPr="00AF740D" w14:paraId="358D4E6B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F768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lastRenderedPageBreak/>
              <w:t>Kategorie przetwarzanych danych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364E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przetwarza Pani/Pana dane osobowe w zakresie:</w:t>
            </w:r>
          </w:p>
          <w:p w14:paraId="7E535341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</w:rPr>
              <w:t>dane identyfikujące osobę: PESEL/NIP/REGON, imię, nazwisko, dane dotyczące dokumentów tożsamości, nazwisko rodowe, nazwisko panieńskie matki, imię ojca, imię matki, data urodzenia, miejsce urodzenia, obywatelstwo, płeć;</w:t>
            </w:r>
          </w:p>
          <w:p w14:paraId="5DADEDCE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</w:rPr>
            </w:pPr>
            <w:r w:rsidRPr="00AF740D">
              <w:rPr>
                <w:rFonts w:cs="Calibri"/>
                <w:sz w:val="23"/>
                <w:szCs w:val="23"/>
              </w:rPr>
              <w:t>dane adresowe i teleadresowe,</w:t>
            </w:r>
          </w:p>
          <w:p w14:paraId="7488E827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</w:rPr>
            </w:pPr>
            <w:r w:rsidRPr="00AF740D">
              <w:rPr>
                <w:rFonts w:cs="Calibri"/>
                <w:sz w:val="23"/>
                <w:szCs w:val="23"/>
              </w:rPr>
              <w:t>informacje o prowadzonej działalności gospodarczej,</w:t>
            </w:r>
          </w:p>
          <w:p w14:paraId="433F04B9" w14:textId="77777777" w:rsidR="00DB130C" w:rsidRPr="00AF740D" w:rsidRDefault="00DB130C" w:rsidP="00DB130C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 w:rsidRPr="00AF740D">
              <w:rPr>
                <w:rFonts w:cs="Calibri"/>
                <w:sz w:val="23"/>
                <w:szCs w:val="23"/>
              </w:rPr>
              <w:t xml:space="preserve">dane dotyczące zobowiązania: </w:t>
            </w:r>
            <w:r w:rsidRPr="00AF740D">
              <w:rPr>
                <w:rFonts w:cs="Calibri"/>
                <w:color w:val="333333"/>
                <w:sz w:val="23"/>
                <w:szCs w:val="23"/>
              </w:rPr>
              <w:t xml:space="preserve">źródło zobowiązania, kwota i waluta, numer i stan rachunku, data powstania zobowiązania, warunki spłaty zobowiązania, cel finansowania, zabezpieczenie prawne i przedmiot zabezpieczenia, przebieg realizacji zobowiązania, stan zadłużenia z tytułu zobowiązania na dzień wygaśnięcia zobowiązania, data wygaśnięcia zobowiązania, przyczyny niewykonania zobowiązania lub dopuszczenia się zwłoki, o której mowa w </w:t>
            </w:r>
            <w:r w:rsidRPr="00AF740D">
              <w:rPr>
                <w:rFonts w:cs="Calibri"/>
                <w:sz w:val="23"/>
                <w:szCs w:val="23"/>
              </w:rPr>
              <w:t>art. 105a ust. 3</w:t>
            </w:r>
            <w:r w:rsidRPr="00AF740D">
              <w:rPr>
                <w:rFonts w:cs="Calibri"/>
                <w:color w:val="333333"/>
                <w:sz w:val="23"/>
                <w:szCs w:val="23"/>
              </w:rPr>
              <w:t xml:space="preserve"> ustawy Prawo bankowe, przyczyny wygaśnięcia zobowiązania, decyzja kredytowa i dane dotyczące wniosków kredytowych.</w:t>
            </w:r>
          </w:p>
          <w:p w14:paraId="63A4FE0E" w14:textId="77777777" w:rsidR="00DB130C" w:rsidRPr="00CF23B1" w:rsidRDefault="00DB130C" w:rsidP="00DB130C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>
              <w:rPr>
                <w:rFonts w:eastAsia="Calibri" w:cs="Calibri"/>
                <w:sz w:val="23"/>
                <w:szCs w:val="23"/>
              </w:rPr>
              <w:t xml:space="preserve">Informacje </w:t>
            </w:r>
            <w:proofErr w:type="gramStart"/>
            <w:r>
              <w:rPr>
                <w:rFonts w:eastAsia="Calibri" w:cs="Calibri"/>
                <w:sz w:val="23"/>
                <w:szCs w:val="23"/>
              </w:rPr>
              <w:t xml:space="preserve">dotyczące </w:t>
            </w:r>
            <w:r w:rsidRPr="000B1F48">
              <w:rPr>
                <w:rFonts w:ascii="Arial" w:hAnsi="Arial" w:cs="Arial"/>
                <w:color w:val="464646"/>
                <w:sz w:val="21"/>
                <w:szCs w:val="21"/>
                <w:shd w:val="clear" w:color="auto" w:fill="FFFFFF"/>
              </w:rPr>
              <w:t xml:space="preserve"> </w:t>
            </w:r>
            <w:r w:rsidRPr="000B1F48">
              <w:rPr>
                <w:rFonts w:eastAsia="Calibri" w:cs="Calibri"/>
                <w:sz w:val="23"/>
                <w:szCs w:val="23"/>
              </w:rPr>
              <w:t>zaleg</w:t>
            </w:r>
            <w:r>
              <w:rPr>
                <w:rFonts w:eastAsia="Calibri" w:cs="Calibri"/>
                <w:sz w:val="23"/>
                <w:szCs w:val="23"/>
              </w:rPr>
              <w:t>łości</w:t>
            </w:r>
            <w:proofErr w:type="gramEnd"/>
            <w:r>
              <w:rPr>
                <w:rFonts w:eastAsia="Calibri" w:cs="Calibri"/>
                <w:sz w:val="23"/>
                <w:szCs w:val="23"/>
              </w:rPr>
              <w:t xml:space="preserve"> </w:t>
            </w:r>
            <w:r w:rsidRPr="000B1F48">
              <w:rPr>
                <w:rFonts w:eastAsia="Calibri" w:cs="Calibri"/>
                <w:sz w:val="23"/>
                <w:szCs w:val="23"/>
              </w:rPr>
              <w:t>zapłat</w:t>
            </w:r>
            <w:r>
              <w:rPr>
                <w:rFonts w:eastAsia="Calibri" w:cs="Calibri"/>
                <w:sz w:val="23"/>
                <w:szCs w:val="23"/>
              </w:rPr>
              <w:t>y</w:t>
            </w:r>
            <w:r w:rsidRPr="000B1F48">
              <w:rPr>
                <w:rFonts w:eastAsia="Calibri" w:cs="Calibri"/>
                <w:sz w:val="23"/>
                <w:szCs w:val="23"/>
              </w:rPr>
              <w:t xml:space="preserve"> należności pieniężnych podlegających egzekucji administracyjnej</w:t>
            </w:r>
            <w:r>
              <w:rPr>
                <w:rFonts w:eastAsia="Calibri" w:cs="Calibri"/>
                <w:sz w:val="23"/>
                <w:szCs w:val="23"/>
              </w:rPr>
              <w:t xml:space="preserve">: </w:t>
            </w:r>
            <w:r w:rsidRPr="000B1F48">
              <w:rPr>
                <w:rFonts w:eastAsia="Calibri" w:cs="Calibri"/>
                <w:sz w:val="23"/>
                <w:szCs w:val="23"/>
              </w:rPr>
              <w:t>informacje o należnościach publicznoprawnych, tj. należnościach pieniężnych podlegających egzekucji administracyjnej, których wierzycielami są naczelnicy urzędów skarbowych albo jednostki samorządu terytorialnego</w:t>
            </w:r>
            <w:r>
              <w:rPr>
                <w:rFonts w:eastAsia="Calibri" w:cs="Calibri"/>
                <w:sz w:val="23"/>
                <w:szCs w:val="23"/>
              </w:rPr>
              <w:t>,</w:t>
            </w:r>
          </w:p>
          <w:p w14:paraId="4BB3388D" w14:textId="77777777" w:rsidR="00DB130C" w:rsidRPr="00AF740D" w:rsidRDefault="00DB130C" w:rsidP="00DB130C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 w:cs="Calibri"/>
                <w:sz w:val="23"/>
                <w:szCs w:val="23"/>
              </w:rPr>
            </w:pPr>
            <w:r w:rsidRPr="00AF740D">
              <w:rPr>
                <w:rFonts w:cs="Calibri"/>
                <w:color w:val="333333"/>
                <w:sz w:val="23"/>
                <w:szCs w:val="23"/>
              </w:rPr>
              <w:t>informacja o upadłości i restrukturyzacji</w:t>
            </w:r>
          </w:p>
        </w:tc>
      </w:tr>
      <w:tr w:rsidR="00DB130C" w:rsidRPr="00AF740D" w14:paraId="52669B3B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2682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Źródło pochodzenia danych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EF37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BIK pozyskuje Pani/Pana dane osobowe:</w:t>
            </w:r>
          </w:p>
          <w:p w14:paraId="3488EE58" w14:textId="77777777" w:rsidR="00DB130C" w:rsidRPr="00AF740D" w:rsidRDefault="00DB130C" w:rsidP="00DB130C">
            <w:pPr>
              <w:numPr>
                <w:ilvl w:val="0"/>
                <w:numId w:val="17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z Banku</w:t>
            </w:r>
          </w:p>
          <w:p w14:paraId="042C65E3" w14:textId="77777777" w:rsidR="00DB130C" w:rsidRPr="00AF740D" w:rsidRDefault="00DB130C" w:rsidP="00DB130C">
            <w:pPr>
              <w:numPr>
                <w:ilvl w:val="0"/>
                <w:numId w:val="17"/>
              </w:num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z dostępnych publicznie państwowych rejestrów i publikatorów tj. z Monitora Sądowego i Gospodarczego/ Krajowego Rejestru Zadłużonych</w:t>
            </w:r>
            <w:r>
              <w:rPr>
                <w:rFonts w:cs="Calibri"/>
                <w:sz w:val="23"/>
                <w:szCs w:val="23"/>
                <w:lang w:eastAsia="ar-SA"/>
              </w:rPr>
              <w:t>.</w:t>
            </w:r>
          </w:p>
          <w:p w14:paraId="364D669E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</w:p>
        </w:tc>
      </w:tr>
      <w:tr w:rsidR="00DB130C" w:rsidRPr="00AF740D" w14:paraId="20E6A2D9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0C7C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lastRenderedPageBreak/>
              <w:t>Okres przez który dane będą przetwarzane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1DA06" w14:textId="77777777" w:rsidR="00DB130C" w:rsidRPr="00AF740D" w:rsidRDefault="00DB130C" w:rsidP="00F74679">
            <w:pPr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Pani/Pana dane osobowe będą przetwarzane przez </w:t>
            </w: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>:</w:t>
            </w:r>
          </w:p>
          <w:p w14:paraId="7BE5DE02" w14:textId="77777777" w:rsidR="00DB130C" w:rsidRPr="00AF740D" w:rsidRDefault="00DB130C" w:rsidP="00F74679">
            <w:pPr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b/>
                <w:sz w:val="23"/>
                <w:szCs w:val="23"/>
                <w:lang w:eastAsia="ar-SA"/>
              </w:rPr>
              <w:t>Pozyskane z banków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>:</w:t>
            </w:r>
          </w:p>
          <w:p w14:paraId="3C82FE05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dla celów wykonywania czynności bankowych, w szczególności dokonywania oceny zdolności kredytowej i analizy ryzyka kredytowego – przez okres trwania Pani/Pana zobowiązania, a po jego wygaśnięciu – tylko w przypadku wyrażenia przez Panią/Pana zgody lub spełnienia warunków, o których mowa w art. 105a ust. 3 Prawa bankowego, przy czy w żadnym wypadku nie dłużej niż przez okres 5 lat po wygaśnięciu zobowiązania, </w:t>
            </w:r>
            <w:r w:rsidRPr="00AF740D">
              <w:rPr>
                <w:rFonts w:cs="Calibri"/>
                <w:sz w:val="23"/>
                <w:szCs w:val="23"/>
              </w:rPr>
              <w:t>a w zakresie danych wynikających z zapytania przekazanego do BIK – przez okres nie dłuższy niż 10 lat od jego przekazania, z tym, że dane te będą udostępnianie przez okres nie dłuższy niż 12 miesięcy od ich przekazania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>;</w:t>
            </w:r>
          </w:p>
          <w:p w14:paraId="0857D312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dla celów stosowania metod wewnętrznych oraz innych metod i modeli, o których mowa w art. 105a ust. 4 Prawa bankowego – przez okres trwania zobowiązania oraz przez okres 12 lat od wygaśnięcia zobowiązania; a w zakresie danych wynikających 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br/>
              <w:t>z zapytania przekazanego do BIK - przez okres nie dłuższy niż 10 lat od jego przekazania;</w:t>
            </w:r>
          </w:p>
          <w:p w14:paraId="2C49176E" w14:textId="77777777" w:rsidR="00DB130C" w:rsidRPr="00AF740D" w:rsidRDefault="00DB130C" w:rsidP="00DB130C">
            <w:pPr>
              <w:pStyle w:val="Akapitzlist"/>
              <w:numPr>
                <w:ilvl w:val="0"/>
                <w:numId w:val="16"/>
              </w:numPr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dla celów statystycznych i analiz – przez okres nie dłuższy niż okres przetwarzania Pani/Pana danych osobowych w celach określonych w powyższych punktach;</w:t>
            </w:r>
          </w:p>
          <w:p w14:paraId="0B14B227" w14:textId="77777777" w:rsidR="00DB130C" w:rsidRPr="00AF740D" w:rsidRDefault="00DB130C" w:rsidP="00DB130C">
            <w:pPr>
              <w:numPr>
                <w:ilvl w:val="0"/>
                <w:numId w:val="16"/>
              </w:numPr>
              <w:contextualSpacing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dla celów rozpatrywania Pani/Pana reklamacji i zgłoszonych roszczeń – do momentu przedawnienia Pani/Pana potencjalnych roszczeń wynikających z umowy lub z innego tytułu.</w:t>
            </w:r>
          </w:p>
          <w:p w14:paraId="340337D1" w14:textId="77777777" w:rsidR="00DB130C" w:rsidRPr="00AF740D" w:rsidRDefault="00DB130C" w:rsidP="00F74679">
            <w:pPr>
              <w:contextualSpacing/>
              <w:rPr>
                <w:rFonts w:cs="Calibri"/>
                <w:sz w:val="23"/>
                <w:szCs w:val="23"/>
                <w:lang w:eastAsia="ar-SA"/>
              </w:rPr>
            </w:pPr>
          </w:p>
          <w:p w14:paraId="7A8128DC" w14:textId="77777777" w:rsidR="00DB130C" w:rsidRPr="00AF740D" w:rsidRDefault="00DB130C" w:rsidP="00F74679">
            <w:pPr>
              <w:contextualSpacing/>
              <w:rPr>
                <w:rFonts w:cs="Calibri"/>
                <w:b/>
                <w:bCs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b/>
                <w:bCs/>
                <w:sz w:val="23"/>
                <w:szCs w:val="23"/>
                <w:lang w:eastAsia="ar-SA"/>
              </w:rPr>
              <w:t xml:space="preserve">Pozyskane z publicznych rejestrów: </w:t>
            </w:r>
          </w:p>
          <w:p w14:paraId="48097B41" w14:textId="77777777" w:rsidR="00DB130C" w:rsidRPr="00AF740D" w:rsidRDefault="00DB130C" w:rsidP="00DB130C">
            <w:pPr>
              <w:numPr>
                <w:ilvl w:val="0"/>
                <w:numId w:val="16"/>
              </w:numPr>
              <w:contextualSpacing/>
              <w:jc w:val="both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Dane osobowe będziemy przetwarzać co do zasady przez okres publikacji danych w Monitorze Sądowym i Gospodarczym lub/oraz Krajowym Rejestrze Zadłużonych, wynikającym z odrębnych przepisów regulujących funkcjonowanie tych publikatorów, jednak nie dłużej niż 10 lat od dnia publikacji obwieszczenia lub ogłoszenia zawierającego dane osobowe w tym publikatorze - szczegóły dostępne są na stronie </w:t>
            </w:r>
            <w:hyperlink r:id="rId13" w:history="1">
              <w:r w:rsidRPr="00AF740D">
                <w:rPr>
                  <w:rFonts w:cs="Calibri"/>
                  <w:sz w:val="23"/>
                  <w:szCs w:val="23"/>
                  <w:lang w:eastAsia="ar-SA"/>
                </w:rPr>
                <w:t>www.bik</w:t>
              </w:r>
              <w:r w:rsidRPr="00AF740D">
                <w:rPr>
                  <w:rFonts w:cs="Calibri"/>
                  <w:sz w:val="23"/>
                  <w:szCs w:val="23"/>
                </w:rPr>
                <w:t>.pl/rejestry</w:t>
              </w:r>
            </w:hyperlink>
          </w:p>
          <w:p w14:paraId="2ECA45DB" w14:textId="77777777" w:rsidR="00DB130C" w:rsidRPr="00AF740D" w:rsidRDefault="00DB130C" w:rsidP="00F74679">
            <w:pPr>
              <w:ind w:left="720"/>
              <w:contextualSpacing/>
              <w:rPr>
                <w:rFonts w:cs="Calibri"/>
                <w:sz w:val="23"/>
                <w:szCs w:val="23"/>
                <w:lang w:eastAsia="ar-SA"/>
              </w:rPr>
            </w:pPr>
          </w:p>
        </w:tc>
      </w:tr>
      <w:tr w:rsidR="00DB130C" w:rsidRPr="00AF740D" w14:paraId="6949C472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32D4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Odbiorcy danych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4BA3F" w14:textId="77777777" w:rsidR="00DB130C" w:rsidRPr="00AF740D" w:rsidRDefault="00DB130C" w:rsidP="003F1AFF">
            <w:p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Pani/Pana dane osobowe mogą być udostępniane przez </w:t>
            </w: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podmiotom uprawnionym do ich otrzymania na mocy obowiązujących przepisów prawa, w tym podmiotom wymienionym w art. 105 ust. 4 i 4d Prawa bankowego, a także do rejestr</w:t>
            </w:r>
            <w:r>
              <w:rPr>
                <w:rFonts w:cs="Calibri"/>
                <w:sz w:val="23"/>
                <w:szCs w:val="23"/>
                <w:lang w:eastAsia="ar-SA"/>
              </w:rPr>
              <w:t xml:space="preserve">ów państwowych w tym do Rejestru 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PESEL, Rejestru zastrzeżeń numerów PESEL</w:t>
            </w:r>
            <w:r>
              <w:rPr>
                <w:rFonts w:cs="Calibri"/>
                <w:sz w:val="23"/>
                <w:szCs w:val="23"/>
                <w:lang w:eastAsia="ar-SA"/>
              </w:rPr>
              <w:t>,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Rejestru Dowodów Osobistych </w:t>
            </w:r>
            <w:r>
              <w:rPr>
                <w:rFonts w:cs="Calibri"/>
                <w:sz w:val="23"/>
                <w:szCs w:val="23"/>
                <w:lang w:eastAsia="ar-SA"/>
              </w:rPr>
              <w:t>lub Rejestru Należności Publicznoprawnych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 xml:space="preserve"> w celu weryfikacji poprawności przekazanych danych osobowych, oraz 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lastRenderedPageBreak/>
              <w:t xml:space="preserve">innym podmiotom współpracującym z </w:t>
            </w:r>
            <w:r w:rsidRPr="00AF740D">
              <w:rPr>
                <w:rFonts w:cs="Calibri"/>
                <w:b/>
                <w:sz w:val="23"/>
                <w:szCs w:val="23"/>
              </w:rPr>
              <w:t>BIK</w:t>
            </w:r>
            <w:r w:rsidRPr="00AF740D">
              <w:rPr>
                <w:rFonts w:cs="Calibri"/>
                <w:sz w:val="23"/>
                <w:szCs w:val="23"/>
                <w:lang w:eastAsia="ar-SA"/>
              </w:rPr>
              <w:t>, o ile taki podmiot dysponuje Pani/Pana zgodą. Pani/Pana dane osobowe mogą być także przekazywane podmiotom przetwarzającym dane w imieniu BIK, takim jak dostawcy usług informatycznych – przy czym takie podmioty przetwarzają dane jako podwykonawcy, na podstawie umowy z BIK i wyłącznie zgodnie z poleceniami BIK.</w:t>
            </w:r>
          </w:p>
        </w:tc>
      </w:tr>
      <w:tr w:rsidR="00DB130C" w:rsidRPr="003E0F84" w14:paraId="15BF845E" w14:textId="77777777" w:rsidTr="00F74679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4725" w14:textId="77777777" w:rsidR="00DB130C" w:rsidRPr="00AF740D" w:rsidRDefault="00DB130C" w:rsidP="00F74679">
            <w:pPr>
              <w:suppressAutoHyphens/>
              <w:autoSpaceDN w:val="0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lastRenderedPageBreak/>
              <w:t>Prawa osoby, której dane dotyczą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02856" w14:textId="77777777" w:rsidR="00DB130C" w:rsidRPr="00AF740D" w:rsidRDefault="00DB130C" w:rsidP="003F1AFF">
            <w:pPr>
              <w:tabs>
                <w:tab w:val="left" w:pos="2410"/>
              </w:tabs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Przysługuje Pani/Panu prawo dostępu do Pani/Pana danych oraz prawo żądania ich sprostowania, usunięcia, ograniczenia przetwarzania. W zakresie, w jakim podstawą przetwarzania Pani/Pana danych osobowych jest przesłanka prawnie uzasadnionego interesu administratora, przysługuje Pani/Panu prawo wniesienia sprzeciwu wobec przetwarzania Pani/Pana danych osobowych.</w:t>
            </w:r>
          </w:p>
          <w:p w14:paraId="11C8598A" w14:textId="77777777" w:rsidR="00DB130C" w:rsidRPr="00AF740D" w:rsidRDefault="00DB130C" w:rsidP="003F1AFF">
            <w:pPr>
              <w:tabs>
                <w:tab w:val="left" w:pos="2410"/>
              </w:tabs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W zakresie, w jakim podstawą przetwarzania Pani/Pana danych osobowych jest zgoda, ma Pani/Pan prawo wycofania zgody. Wycofanie zgody nie ma wpływu na zgodność z prawem przetwarzania, którego dokonano na podstawie zgody przed jej wycofaniem.</w:t>
            </w:r>
          </w:p>
          <w:p w14:paraId="4E1FC4FF" w14:textId="77777777" w:rsidR="00DB130C" w:rsidRPr="00AF740D" w:rsidRDefault="00DB130C" w:rsidP="003F1AFF">
            <w:pPr>
              <w:tabs>
                <w:tab w:val="left" w:pos="2410"/>
              </w:tabs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W zakresie, w jakim Pani/Pana dane są przetwarzane w celu zawarcia i wykonywania umowy lub przetwarzane na podstawie zgody – przysługuje Pani/Panu także prawo do przenoszenia danych osobowych, tj. do otrzymania od administratora Pani/Pana danych osobowych, w ustrukturyzowanym, powszechnie używanym formacie nadającym się do odczytu maszynowego. Może Pani/Pan przesłać te dane innemu administratorowi danych. Uprawnienie do przenoszenia danych nie dotyczy danych, które stanowią tajemnicę przedsiębiorstwa.</w:t>
            </w:r>
          </w:p>
          <w:p w14:paraId="33D53784" w14:textId="77777777" w:rsidR="00DB130C" w:rsidRPr="003E0F84" w:rsidRDefault="00DB130C" w:rsidP="003F1AFF">
            <w:pPr>
              <w:suppressAutoHyphens/>
              <w:autoSpaceDN w:val="0"/>
              <w:jc w:val="both"/>
              <w:textAlignment w:val="baseline"/>
              <w:rPr>
                <w:rFonts w:cs="Calibri"/>
                <w:sz w:val="23"/>
                <w:szCs w:val="23"/>
                <w:lang w:eastAsia="ar-SA"/>
              </w:rPr>
            </w:pPr>
            <w:r w:rsidRPr="00AF740D">
              <w:rPr>
                <w:rFonts w:cs="Calibri"/>
                <w:sz w:val="23"/>
                <w:szCs w:val="23"/>
                <w:lang w:eastAsia="ar-SA"/>
              </w:rPr>
              <w:t>Przysługuje Pani/Panu również prawo wniesienia skargi do organu nadzorczego zajmującego się ochroną danych osobowych.</w:t>
            </w:r>
          </w:p>
        </w:tc>
      </w:tr>
    </w:tbl>
    <w:p w14:paraId="17229F17" w14:textId="325EAAEE" w:rsidR="00DB130C" w:rsidRPr="00DB130C" w:rsidRDefault="00DB130C" w:rsidP="00DB130C">
      <w:pPr>
        <w:tabs>
          <w:tab w:val="left" w:pos="3055"/>
        </w:tabs>
        <w:rPr>
          <w:lang w:eastAsia="ar-SA"/>
        </w:rPr>
      </w:pPr>
    </w:p>
    <w:sectPr w:rsidR="00DB130C" w:rsidRPr="00DB130C" w:rsidSect="001A7A2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FE39" w14:textId="77777777" w:rsidR="00FC1839" w:rsidRDefault="00FC1839">
      <w:r>
        <w:separator/>
      </w:r>
    </w:p>
  </w:endnote>
  <w:endnote w:type="continuationSeparator" w:id="0">
    <w:p w14:paraId="49232D0D" w14:textId="77777777" w:rsidR="00FC1839" w:rsidRDefault="00FC1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828951D-C65D-4F8D-871B-C48A175C9051}"/>
    <w:embedBold r:id="rId2" w:fontKey="{28FDC4D0-9FAE-4A7A-A6E8-5E1D4804C8CA}"/>
    <w:embedItalic r:id="rId3" w:fontKey="{E8A49BFF-E535-44F5-9251-2C18408873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subsetted="1" w:fontKey="{5C9F04E2-C7B7-420C-A8C6-56F1D31E9C1F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09C99" w14:textId="77777777" w:rsidR="00FC1839" w:rsidRDefault="00FC1839">
      <w:r>
        <w:separator/>
      </w:r>
    </w:p>
  </w:footnote>
  <w:footnote w:type="continuationSeparator" w:id="0">
    <w:p w14:paraId="6136DCA7" w14:textId="77777777" w:rsidR="00FC1839" w:rsidRDefault="00FC1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AB0"/>
    <w:multiLevelType w:val="hybridMultilevel"/>
    <w:tmpl w:val="2918EA56"/>
    <w:name w:val="Lista_BPS_paragraf2"/>
    <w:lvl w:ilvl="0" w:tplc="9914406E">
      <w:start w:val="1"/>
      <w:numFmt w:val="decimal"/>
      <w:lvlText w:val="§ %1. "/>
      <w:lvlJc w:val="left"/>
      <w:pPr>
        <w:ind w:left="1077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8763AFB"/>
    <w:multiLevelType w:val="hybridMultilevel"/>
    <w:tmpl w:val="8E6EAF84"/>
    <w:name w:val="Lista_BPS3"/>
    <w:lvl w:ilvl="0" w:tplc="D94A707E">
      <w:start w:val="1"/>
      <w:numFmt w:val="lowerLetter"/>
      <w:lvlText w:val="%1)"/>
      <w:lvlJc w:val="left"/>
      <w:pPr>
        <w:ind w:left="144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134214"/>
    <w:multiLevelType w:val="multilevel"/>
    <w:tmpl w:val="2058463C"/>
    <w:name w:val="Lista BPS z paragrafem"/>
    <w:lvl w:ilvl="0">
      <w:start w:val="1"/>
      <w:numFmt w:val="none"/>
      <w:lvlText w:val="%1"/>
      <w:lvlJc w:val="left"/>
      <w:pPr>
        <w:ind w:left="0" w:firstLine="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" w15:restartNumberingAfterBreak="0">
    <w:nsid w:val="13E570AC"/>
    <w:multiLevelType w:val="multilevel"/>
    <w:tmpl w:val="D5F24960"/>
    <w:name w:val="Lista_BPS"/>
    <w:lvl w:ilvl="0">
      <w:start w:val="1"/>
      <w:numFmt w:val="decimal"/>
      <w:pStyle w:val="Lista1"/>
      <w:lvlText w:val="%1.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>
      <w:start w:val="1"/>
      <w:numFmt w:val="decimal"/>
      <w:pStyle w:val="Lista2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pStyle w:val="Lista3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" w15:restartNumberingAfterBreak="0">
    <w:nsid w:val="1F7B79EA"/>
    <w:multiLevelType w:val="multilevel"/>
    <w:tmpl w:val="DA86C766"/>
    <w:name w:val="Lista paragraf"/>
    <w:lvl w:ilvl="0">
      <w:start w:val="1"/>
      <w:numFmt w:val="none"/>
      <w:lvlText w:val=""/>
      <w:lvlJc w:val="left"/>
      <w:pPr>
        <w:ind w:left="0" w:firstLine="0"/>
      </w:pPr>
      <w:rPr>
        <w:rFonts w:asciiTheme="minorHAnsi" w:hAnsiTheme="minorHAns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108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1980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firstLine="21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89346FC"/>
    <w:multiLevelType w:val="multilevel"/>
    <w:tmpl w:val="997A4D4A"/>
    <w:styleLink w:val="StyllistyBPS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520"/>
        </w:tabs>
        <w:ind w:left="2628" w:hanging="360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right"/>
      <w:pPr>
        <w:tabs>
          <w:tab w:val="num" w:pos="3240"/>
        </w:tabs>
        <w:ind w:left="3240" w:hanging="180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6" w15:restartNumberingAfterBreak="0">
    <w:nsid w:val="3E742135"/>
    <w:multiLevelType w:val="hybridMultilevel"/>
    <w:tmpl w:val="8BF6C460"/>
    <w:name w:val="Lista BPS z paragrafem2"/>
    <w:lvl w:ilvl="0" w:tplc="467A2D5E">
      <w:start w:val="1"/>
      <w:numFmt w:val="ordinal"/>
      <w:lvlText w:val="Tabela %1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46201"/>
    <w:multiLevelType w:val="hybridMultilevel"/>
    <w:tmpl w:val="9806AB54"/>
    <w:name w:val="Lista_BPS_bez paragrafu numerowana2"/>
    <w:lvl w:ilvl="0" w:tplc="561C0A98">
      <w:start w:val="1"/>
      <w:numFmt w:val="decimal"/>
      <w:lvlText w:val="%1.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F4123"/>
    <w:multiLevelType w:val="multilevel"/>
    <w:tmpl w:val="8C7C0AB8"/>
    <w:name w:val="Lista_BPS_bez paragrafu numerowana"/>
    <w:lvl w:ilvl="0">
      <w:start w:val="1"/>
      <w:numFmt w:val="none"/>
      <w:pStyle w:val="Nagwek1"/>
      <w:lvlText w:val="%1"/>
      <w:lvlJc w:val="left"/>
      <w:pPr>
        <w:ind w:left="0" w:firstLine="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Calibri" w:hAnsi="Calibri" w:hint="default"/>
        <w:color w:val="027256"/>
        <w:sz w:val="20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672F4675"/>
    <w:multiLevelType w:val="hybridMultilevel"/>
    <w:tmpl w:val="9432DC5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B3F28A9"/>
    <w:multiLevelType w:val="hybridMultilevel"/>
    <w:tmpl w:val="88BE60DC"/>
    <w:name w:val="Lista_BPS2"/>
    <w:lvl w:ilvl="0" w:tplc="852C656E">
      <w:start w:val="1"/>
      <w:numFmt w:val="decimal"/>
      <w:lvlText w:val="%1)"/>
      <w:lvlJc w:val="left"/>
      <w:pPr>
        <w:ind w:left="717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6C4A15C8"/>
    <w:multiLevelType w:val="multilevel"/>
    <w:tmpl w:val="05EC7402"/>
    <w:styleLink w:val="Styl1"/>
    <w:lvl w:ilvl="0">
      <w:start w:val="1"/>
      <w:numFmt w:val="ordinal"/>
      <w:lvlText w:val="Tabela %1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94D76"/>
    <w:multiLevelType w:val="hybridMultilevel"/>
    <w:tmpl w:val="897CC8BE"/>
    <w:name w:val="Lista BPS_bez paragrafu"/>
    <w:lvl w:ilvl="0" w:tplc="2FCC3274">
      <w:start w:val="1"/>
      <w:numFmt w:val="decimal"/>
      <w:lvlText w:val="%1. "/>
      <w:lvlJc w:val="left"/>
      <w:pPr>
        <w:ind w:left="270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71EE11C4"/>
    <w:multiLevelType w:val="hybridMultilevel"/>
    <w:tmpl w:val="570CB868"/>
    <w:name w:val="Lista paragraf2"/>
    <w:lvl w:ilvl="0" w:tplc="283A9628">
      <w:start w:val="1"/>
      <w:numFmt w:val="decimal"/>
      <w:lvlText w:val="§ %1. "/>
      <w:lvlJc w:val="left"/>
      <w:pPr>
        <w:ind w:left="360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61FBA"/>
    <w:multiLevelType w:val="hybridMultilevel"/>
    <w:tmpl w:val="26AE4F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A344F"/>
    <w:multiLevelType w:val="multilevel"/>
    <w:tmpl w:val="C05AC5B0"/>
    <w:styleLink w:val="paragrafustepnumerliter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BB17D71"/>
    <w:multiLevelType w:val="multilevel"/>
    <w:tmpl w:val="05EC7402"/>
    <w:name w:val="Lista_BPS4"/>
    <w:numStyleLink w:val="Styl1"/>
  </w:abstractNum>
  <w:num w:numId="1" w16cid:durableId="1782341501">
    <w:abstractNumId w:val="15"/>
  </w:num>
  <w:num w:numId="2" w16cid:durableId="506405499">
    <w:abstractNumId w:val="5"/>
  </w:num>
  <w:num w:numId="3" w16cid:durableId="1638217291">
    <w:abstractNumId w:val="3"/>
  </w:num>
  <w:num w:numId="4" w16cid:durableId="1514613782">
    <w:abstractNumId w:val="11"/>
  </w:num>
  <w:num w:numId="5" w16cid:durableId="2132163840">
    <w:abstractNumId w:val="8"/>
  </w:num>
  <w:num w:numId="6" w16cid:durableId="7460001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30918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48478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36140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58384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9293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418376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40511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62445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05222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41197073">
    <w:abstractNumId w:val="14"/>
  </w:num>
  <w:num w:numId="17" w16cid:durableId="705250480">
    <w:abstractNumId w:val="9"/>
  </w:num>
  <w:num w:numId="18" w16cid:durableId="1935555972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5D"/>
    <w:rsid w:val="00013803"/>
    <w:rsid w:val="00022F05"/>
    <w:rsid w:val="00030F3B"/>
    <w:rsid w:val="000357E7"/>
    <w:rsid w:val="00040242"/>
    <w:rsid w:val="0004484C"/>
    <w:rsid w:val="00045FD3"/>
    <w:rsid w:val="0006448F"/>
    <w:rsid w:val="00065A98"/>
    <w:rsid w:val="000715DF"/>
    <w:rsid w:val="00096177"/>
    <w:rsid w:val="00097222"/>
    <w:rsid w:val="000A03B3"/>
    <w:rsid w:val="000A15C3"/>
    <w:rsid w:val="000B2F9C"/>
    <w:rsid w:val="000B52A2"/>
    <w:rsid w:val="000D3F5E"/>
    <w:rsid w:val="000F3A8B"/>
    <w:rsid w:val="00110F5D"/>
    <w:rsid w:val="00114A8E"/>
    <w:rsid w:val="00115F03"/>
    <w:rsid w:val="00120711"/>
    <w:rsid w:val="001251C3"/>
    <w:rsid w:val="00126763"/>
    <w:rsid w:val="00135C82"/>
    <w:rsid w:val="001652EA"/>
    <w:rsid w:val="001824BF"/>
    <w:rsid w:val="00182A15"/>
    <w:rsid w:val="001A0554"/>
    <w:rsid w:val="001A5F2A"/>
    <w:rsid w:val="001A7A27"/>
    <w:rsid w:val="001B0503"/>
    <w:rsid w:val="001C057C"/>
    <w:rsid w:val="001C304B"/>
    <w:rsid w:val="001C4089"/>
    <w:rsid w:val="001C6829"/>
    <w:rsid w:val="001E660C"/>
    <w:rsid w:val="001E6EF5"/>
    <w:rsid w:val="001F0D65"/>
    <w:rsid w:val="001F76EF"/>
    <w:rsid w:val="001F7844"/>
    <w:rsid w:val="00241A1D"/>
    <w:rsid w:val="00253825"/>
    <w:rsid w:val="00256FAD"/>
    <w:rsid w:val="00266264"/>
    <w:rsid w:val="0027009F"/>
    <w:rsid w:val="00273B23"/>
    <w:rsid w:val="002852D4"/>
    <w:rsid w:val="002B168B"/>
    <w:rsid w:val="002B6724"/>
    <w:rsid w:val="002B68B3"/>
    <w:rsid w:val="002E5AC3"/>
    <w:rsid w:val="002E62B8"/>
    <w:rsid w:val="002E6E49"/>
    <w:rsid w:val="00316B6A"/>
    <w:rsid w:val="00342CF9"/>
    <w:rsid w:val="00351AAA"/>
    <w:rsid w:val="00355B60"/>
    <w:rsid w:val="00374044"/>
    <w:rsid w:val="00383269"/>
    <w:rsid w:val="00391C35"/>
    <w:rsid w:val="003962E3"/>
    <w:rsid w:val="003A513C"/>
    <w:rsid w:val="003D0FBF"/>
    <w:rsid w:val="003E5119"/>
    <w:rsid w:val="003E6A7F"/>
    <w:rsid w:val="003F1AFF"/>
    <w:rsid w:val="00407CB3"/>
    <w:rsid w:val="0041413E"/>
    <w:rsid w:val="004268C7"/>
    <w:rsid w:val="0043608E"/>
    <w:rsid w:val="004424C3"/>
    <w:rsid w:val="00452356"/>
    <w:rsid w:val="00465340"/>
    <w:rsid w:val="0047328D"/>
    <w:rsid w:val="0048643D"/>
    <w:rsid w:val="004A5D77"/>
    <w:rsid w:val="004B2877"/>
    <w:rsid w:val="004B78E3"/>
    <w:rsid w:val="004C0E94"/>
    <w:rsid w:val="004C103A"/>
    <w:rsid w:val="004C4B1F"/>
    <w:rsid w:val="004D5871"/>
    <w:rsid w:val="0050632F"/>
    <w:rsid w:val="00512B28"/>
    <w:rsid w:val="005155AA"/>
    <w:rsid w:val="005238CE"/>
    <w:rsid w:val="00525739"/>
    <w:rsid w:val="00550813"/>
    <w:rsid w:val="00551A95"/>
    <w:rsid w:val="00555318"/>
    <w:rsid w:val="00555836"/>
    <w:rsid w:val="00572BCB"/>
    <w:rsid w:val="00572C5D"/>
    <w:rsid w:val="0058107D"/>
    <w:rsid w:val="00587700"/>
    <w:rsid w:val="005945B4"/>
    <w:rsid w:val="00594FE8"/>
    <w:rsid w:val="005962E9"/>
    <w:rsid w:val="005966DC"/>
    <w:rsid w:val="005A25B7"/>
    <w:rsid w:val="005A25C7"/>
    <w:rsid w:val="005A6D3F"/>
    <w:rsid w:val="005B3C04"/>
    <w:rsid w:val="005D67A8"/>
    <w:rsid w:val="005E6A24"/>
    <w:rsid w:val="005F22C4"/>
    <w:rsid w:val="005F30D4"/>
    <w:rsid w:val="0063007C"/>
    <w:rsid w:val="0065751D"/>
    <w:rsid w:val="006626F5"/>
    <w:rsid w:val="0066405E"/>
    <w:rsid w:val="00670981"/>
    <w:rsid w:val="00672DA1"/>
    <w:rsid w:val="00675B56"/>
    <w:rsid w:val="00690A93"/>
    <w:rsid w:val="006959C6"/>
    <w:rsid w:val="006971D1"/>
    <w:rsid w:val="006A45DF"/>
    <w:rsid w:val="006A6D33"/>
    <w:rsid w:val="006E3D01"/>
    <w:rsid w:val="006E52EF"/>
    <w:rsid w:val="006E7213"/>
    <w:rsid w:val="006F4779"/>
    <w:rsid w:val="007000F4"/>
    <w:rsid w:val="00710A71"/>
    <w:rsid w:val="007146B8"/>
    <w:rsid w:val="00714FA6"/>
    <w:rsid w:val="00717F83"/>
    <w:rsid w:val="00722F82"/>
    <w:rsid w:val="00727291"/>
    <w:rsid w:val="007324E4"/>
    <w:rsid w:val="00733A07"/>
    <w:rsid w:val="00735095"/>
    <w:rsid w:val="00775CB3"/>
    <w:rsid w:val="007768D3"/>
    <w:rsid w:val="00795F4E"/>
    <w:rsid w:val="007A33CE"/>
    <w:rsid w:val="007A624A"/>
    <w:rsid w:val="007B5580"/>
    <w:rsid w:val="007C5C45"/>
    <w:rsid w:val="007E193D"/>
    <w:rsid w:val="007E71DD"/>
    <w:rsid w:val="007F0289"/>
    <w:rsid w:val="007F67B6"/>
    <w:rsid w:val="00805996"/>
    <w:rsid w:val="00806F30"/>
    <w:rsid w:val="00833A9C"/>
    <w:rsid w:val="008754C0"/>
    <w:rsid w:val="00895D34"/>
    <w:rsid w:val="008E7658"/>
    <w:rsid w:val="008F700B"/>
    <w:rsid w:val="008F7F25"/>
    <w:rsid w:val="0090076D"/>
    <w:rsid w:val="00920C5D"/>
    <w:rsid w:val="00926A9C"/>
    <w:rsid w:val="00962D6E"/>
    <w:rsid w:val="009739F6"/>
    <w:rsid w:val="009745E1"/>
    <w:rsid w:val="0098329A"/>
    <w:rsid w:val="00990C1F"/>
    <w:rsid w:val="009B7A4F"/>
    <w:rsid w:val="009C048A"/>
    <w:rsid w:val="009D3E99"/>
    <w:rsid w:val="009E355E"/>
    <w:rsid w:val="009E7466"/>
    <w:rsid w:val="00A37651"/>
    <w:rsid w:val="00A37D7B"/>
    <w:rsid w:val="00A64636"/>
    <w:rsid w:val="00A954B2"/>
    <w:rsid w:val="00A95AD3"/>
    <w:rsid w:val="00AA3039"/>
    <w:rsid w:val="00AB23D0"/>
    <w:rsid w:val="00AB4F3E"/>
    <w:rsid w:val="00AC19F8"/>
    <w:rsid w:val="00AC1E01"/>
    <w:rsid w:val="00AE4411"/>
    <w:rsid w:val="00AE5712"/>
    <w:rsid w:val="00AF3449"/>
    <w:rsid w:val="00AF455F"/>
    <w:rsid w:val="00B01292"/>
    <w:rsid w:val="00B14DE6"/>
    <w:rsid w:val="00B27D72"/>
    <w:rsid w:val="00B33898"/>
    <w:rsid w:val="00B33E7A"/>
    <w:rsid w:val="00B40CCB"/>
    <w:rsid w:val="00B42A68"/>
    <w:rsid w:val="00B66783"/>
    <w:rsid w:val="00B81D29"/>
    <w:rsid w:val="00B8259F"/>
    <w:rsid w:val="00B84E2C"/>
    <w:rsid w:val="00B91EAB"/>
    <w:rsid w:val="00BA4A75"/>
    <w:rsid w:val="00BA5C3C"/>
    <w:rsid w:val="00BB2C3C"/>
    <w:rsid w:val="00BD2F71"/>
    <w:rsid w:val="00BD5F0B"/>
    <w:rsid w:val="00BE3C8C"/>
    <w:rsid w:val="00C237ED"/>
    <w:rsid w:val="00C279BA"/>
    <w:rsid w:val="00C321DB"/>
    <w:rsid w:val="00C37EE9"/>
    <w:rsid w:val="00C41C05"/>
    <w:rsid w:val="00C54E85"/>
    <w:rsid w:val="00C5547B"/>
    <w:rsid w:val="00C55B3B"/>
    <w:rsid w:val="00C75C23"/>
    <w:rsid w:val="00CB6C79"/>
    <w:rsid w:val="00CF030D"/>
    <w:rsid w:val="00CF3824"/>
    <w:rsid w:val="00D05CA7"/>
    <w:rsid w:val="00D109DE"/>
    <w:rsid w:val="00D12479"/>
    <w:rsid w:val="00D136EC"/>
    <w:rsid w:val="00D2294F"/>
    <w:rsid w:val="00D2674F"/>
    <w:rsid w:val="00D348BB"/>
    <w:rsid w:val="00D3526E"/>
    <w:rsid w:val="00D368B8"/>
    <w:rsid w:val="00D4017F"/>
    <w:rsid w:val="00D760AF"/>
    <w:rsid w:val="00D76A5C"/>
    <w:rsid w:val="00D844D3"/>
    <w:rsid w:val="00D91C3F"/>
    <w:rsid w:val="00DA08C5"/>
    <w:rsid w:val="00DA0B74"/>
    <w:rsid w:val="00DA27DB"/>
    <w:rsid w:val="00DA59E7"/>
    <w:rsid w:val="00DA5E78"/>
    <w:rsid w:val="00DB130C"/>
    <w:rsid w:val="00DB24B7"/>
    <w:rsid w:val="00DB6124"/>
    <w:rsid w:val="00DD0AE4"/>
    <w:rsid w:val="00DD29A5"/>
    <w:rsid w:val="00DE7B2D"/>
    <w:rsid w:val="00E06CC6"/>
    <w:rsid w:val="00E1742D"/>
    <w:rsid w:val="00E22D32"/>
    <w:rsid w:val="00E27FCD"/>
    <w:rsid w:val="00E3035E"/>
    <w:rsid w:val="00E36240"/>
    <w:rsid w:val="00E43D6A"/>
    <w:rsid w:val="00E8226B"/>
    <w:rsid w:val="00E9013D"/>
    <w:rsid w:val="00E91CB5"/>
    <w:rsid w:val="00E96688"/>
    <w:rsid w:val="00EA1052"/>
    <w:rsid w:val="00EA74C2"/>
    <w:rsid w:val="00EB6951"/>
    <w:rsid w:val="00EC0BF1"/>
    <w:rsid w:val="00EC216F"/>
    <w:rsid w:val="00EC742C"/>
    <w:rsid w:val="00EE6DF3"/>
    <w:rsid w:val="00EE7201"/>
    <w:rsid w:val="00EF0FC7"/>
    <w:rsid w:val="00F06869"/>
    <w:rsid w:val="00F20023"/>
    <w:rsid w:val="00F226E8"/>
    <w:rsid w:val="00FC1839"/>
    <w:rsid w:val="00FC5998"/>
    <w:rsid w:val="00FE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CF5C20"/>
  <w15:chartTrackingRefBased/>
  <w15:docId w15:val="{0723FA39-298C-4C44-9F25-7C52CD59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qFormat="1"/>
    <w:lsdException w:name="List 3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130C"/>
    <w:pPr>
      <w:spacing w:line="276" w:lineRule="auto"/>
    </w:pPr>
    <w:rPr>
      <w:rFonts w:ascii="Calibri" w:hAnsi="Calibri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EA74C2"/>
    <w:pPr>
      <w:numPr>
        <w:numId w:val="5"/>
      </w:numPr>
      <w:spacing w:before="360" w:after="120"/>
      <w:contextualSpacing/>
      <w:jc w:val="center"/>
      <w:outlineLvl w:val="0"/>
    </w:pPr>
    <w:rPr>
      <w:b/>
      <w:color w:val="027256"/>
      <w:sz w:val="24"/>
    </w:rPr>
  </w:style>
  <w:style w:type="paragraph" w:styleId="Nagwek2">
    <w:name w:val="heading 2"/>
    <w:basedOn w:val="Normalny"/>
    <w:next w:val="Normalny"/>
    <w:link w:val="Nagwek2Znak"/>
    <w:autoRedefine/>
    <w:qFormat/>
    <w:rsid w:val="00710A71"/>
    <w:pPr>
      <w:keepNext/>
      <w:numPr>
        <w:ilvl w:val="1"/>
      </w:numPr>
      <w:spacing w:before="240" w:after="120"/>
      <w:contextualSpacing/>
      <w:outlineLvl w:val="1"/>
    </w:pPr>
    <w:rPr>
      <w:b/>
      <w:color w:val="027256"/>
    </w:rPr>
  </w:style>
  <w:style w:type="paragraph" w:styleId="Nagwek4">
    <w:name w:val="heading 4"/>
    <w:basedOn w:val="Normalny"/>
    <w:next w:val="Normalny"/>
    <w:link w:val="Nagwek4Znak"/>
    <w:autoRedefine/>
    <w:qFormat/>
    <w:rsid w:val="00710A71"/>
    <w:pPr>
      <w:keepNext/>
      <w:numPr>
        <w:ilvl w:val="3"/>
        <w:numId w:val="5"/>
      </w:numPr>
      <w:spacing w:before="240" w:after="120"/>
      <w:outlineLvl w:val="3"/>
    </w:pPr>
    <w:rPr>
      <w:b/>
      <w:bCs/>
      <w:color w:val="027256"/>
      <w:szCs w:val="28"/>
    </w:rPr>
  </w:style>
  <w:style w:type="paragraph" w:styleId="Nagwek6">
    <w:name w:val="heading 6"/>
    <w:basedOn w:val="Normalny"/>
    <w:next w:val="Normalny"/>
    <w:link w:val="Nagwek6Znak"/>
    <w:rsid w:val="00710A71"/>
    <w:pPr>
      <w:spacing w:before="240" w:after="60"/>
      <w:outlineLvl w:val="5"/>
    </w:pPr>
    <w:rPr>
      <w:b/>
      <w:bCs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73B23"/>
    <w:pPr>
      <w:spacing w:after="120"/>
      <w:ind w:left="283" w:firstLine="567"/>
      <w:jc w:val="both"/>
    </w:pPr>
    <w:rPr>
      <w:rFonts w:ascii="Toronto" w:hAnsi="Toronto"/>
      <w:szCs w:val="20"/>
    </w:rPr>
  </w:style>
  <w:style w:type="paragraph" w:styleId="Tekstpodstawowywcity2">
    <w:name w:val="Body Text Indent 2"/>
    <w:basedOn w:val="Normalny"/>
    <w:link w:val="Tekstpodstawowywcity2Znak"/>
    <w:rsid w:val="00710A71"/>
    <w:pPr>
      <w:spacing w:line="480" w:lineRule="auto"/>
      <w:ind w:left="283"/>
      <w:jc w:val="both"/>
    </w:pPr>
    <w:rPr>
      <w:rFonts w:ascii="Arial Narrow" w:hAnsi="Arial Narrow"/>
      <w:sz w:val="16"/>
      <w:szCs w:val="20"/>
    </w:rPr>
  </w:style>
  <w:style w:type="paragraph" w:styleId="Nagwek">
    <w:name w:val="header"/>
    <w:aliases w:val="Odd"/>
    <w:basedOn w:val="Normalny"/>
    <w:link w:val="NagwekZnak"/>
    <w:uiPriority w:val="99"/>
    <w:rsid w:val="00714FA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10A7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710A71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710A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10A71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710A71"/>
    <w:rPr>
      <w:b/>
      <w:bCs/>
    </w:rPr>
  </w:style>
  <w:style w:type="paragraph" w:styleId="Akapitzlist">
    <w:name w:val="List Paragraph"/>
    <w:basedOn w:val="Normalny"/>
    <w:uiPriority w:val="34"/>
    <w:qFormat/>
    <w:rsid w:val="00710A71"/>
    <w:pPr>
      <w:ind w:left="720"/>
      <w:contextualSpacing/>
    </w:pPr>
  </w:style>
  <w:style w:type="character" w:customStyle="1" w:styleId="NagwekZnak">
    <w:name w:val="Nagłówek Znak"/>
    <w:aliases w:val="Odd Znak"/>
    <w:link w:val="Nagwek"/>
    <w:uiPriority w:val="99"/>
    <w:rsid w:val="00EF0FC7"/>
    <w:rPr>
      <w:sz w:val="24"/>
      <w:szCs w:val="24"/>
    </w:rPr>
  </w:style>
  <w:style w:type="table" w:styleId="Tabela-Siatka">
    <w:name w:val="Table Grid"/>
    <w:basedOn w:val="Standardowy"/>
    <w:rsid w:val="00710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710A71"/>
    <w:rPr>
      <w:rFonts w:ascii="Calibri" w:hAnsi="Calibri"/>
      <w:szCs w:val="24"/>
    </w:rPr>
  </w:style>
  <w:style w:type="character" w:customStyle="1" w:styleId="Nagwek4Znak">
    <w:name w:val="Nagłówek 4 Znak"/>
    <w:basedOn w:val="Domylnaczcionkaakapitu"/>
    <w:link w:val="Nagwek4"/>
    <w:rsid w:val="001A7A27"/>
    <w:rPr>
      <w:rFonts w:ascii="Calibri" w:hAnsi="Calibri"/>
      <w:b/>
      <w:bCs/>
      <w:color w:val="027256"/>
      <w:szCs w:val="28"/>
    </w:rPr>
  </w:style>
  <w:style w:type="character" w:customStyle="1" w:styleId="Nagwek6Znak">
    <w:name w:val="Nagłówek 6 Znak"/>
    <w:basedOn w:val="Domylnaczcionkaakapitu"/>
    <w:link w:val="Nagwek6"/>
    <w:rsid w:val="001A7A27"/>
    <w:rPr>
      <w:rFonts w:ascii="Calibri" w:hAnsi="Calibri"/>
      <w:b/>
      <w:bCs/>
      <w:szCs w:val="22"/>
    </w:rPr>
  </w:style>
  <w:style w:type="paragraph" w:customStyle="1" w:styleId="Tekstpodstawowywcity31">
    <w:name w:val="Tekst podstawowy wcięty 31"/>
    <w:basedOn w:val="Normalny"/>
    <w:rsid w:val="00710A71"/>
    <w:pPr>
      <w:ind w:left="360" w:hanging="360"/>
      <w:jc w:val="both"/>
    </w:pPr>
    <w:rPr>
      <w:szCs w:val="20"/>
    </w:rPr>
  </w:style>
  <w:style w:type="character" w:styleId="Numerstrony">
    <w:name w:val="page number"/>
    <w:basedOn w:val="Domylnaczcionkaakapitu"/>
    <w:rsid w:val="00710A71"/>
  </w:style>
  <w:style w:type="paragraph" w:styleId="Tekstpodstawowy">
    <w:name w:val="Body Text"/>
    <w:basedOn w:val="Normalny"/>
    <w:link w:val="TekstpodstawowyZnak"/>
    <w:rsid w:val="00710A71"/>
  </w:style>
  <w:style w:type="character" w:customStyle="1" w:styleId="TekstpodstawowyZnak">
    <w:name w:val="Tekst podstawowy Znak"/>
    <w:basedOn w:val="Domylnaczcionkaakapitu"/>
    <w:link w:val="Tekstpodstawowy"/>
    <w:rsid w:val="001A7A27"/>
    <w:rPr>
      <w:rFonts w:ascii="Calibri" w:hAnsi="Calibri"/>
      <w:szCs w:val="24"/>
    </w:rPr>
  </w:style>
  <w:style w:type="paragraph" w:styleId="Tekstpodstawowywcity3">
    <w:name w:val="Body Text Indent 3"/>
    <w:basedOn w:val="Normalny"/>
    <w:link w:val="Tekstpodstawowywcity3Znak"/>
    <w:rsid w:val="00710A71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A7A27"/>
    <w:rPr>
      <w:rFonts w:ascii="Calibri" w:hAnsi="Calibri"/>
      <w:sz w:val="16"/>
      <w:szCs w:val="16"/>
    </w:rPr>
  </w:style>
  <w:style w:type="paragraph" w:styleId="Tekstpodstawowy3">
    <w:name w:val="Body Text 3"/>
    <w:basedOn w:val="Normalny"/>
    <w:link w:val="Tekstpodstawowy3Znak"/>
    <w:rsid w:val="00710A71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A7A27"/>
    <w:rPr>
      <w:rFonts w:ascii="Calibri" w:hAnsi="Calibri"/>
      <w:sz w:val="16"/>
      <w:szCs w:val="16"/>
    </w:rPr>
  </w:style>
  <w:style w:type="paragraph" w:styleId="Spistreci3">
    <w:name w:val="toc 3"/>
    <w:basedOn w:val="Normalny"/>
    <w:next w:val="Normalny"/>
    <w:autoRedefine/>
    <w:uiPriority w:val="39"/>
    <w:rsid w:val="00710A71"/>
    <w:pPr>
      <w:spacing w:after="100"/>
      <w:ind w:left="400"/>
    </w:pPr>
  </w:style>
  <w:style w:type="character" w:styleId="Hipercze">
    <w:name w:val="Hyperlink"/>
    <w:basedOn w:val="Domylnaczcionkaakapitu"/>
    <w:uiPriority w:val="99"/>
    <w:unhideWhenUsed/>
    <w:rsid w:val="00710A71"/>
    <w:rPr>
      <w:color w:val="467886" w:themeColor="hyperlink"/>
      <w:u w:val="singl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0A71"/>
    <w:rPr>
      <w:rFonts w:ascii="Calibri" w:hAnsi="Calibri"/>
    </w:rPr>
  </w:style>
  <w:style w:type="character" w:customStyle="1" w:styleId="TematkomentarzaZnak">
    <w:name w:val="Temat komentarza Znak"/>
    <w:link w:val="Tematkomentarza"/>
    <w:rsid w:val="00710A71"/>
    <w:rPr>
      <w:rFonts w:ascii="Calibri" w:hAnsi="Calibri"/>
      <w:b/>
      <w:bCs/>
    </w:rPr>
  </w:style>
  <w:style w:type="numbering" w:customStyle="1" w:styleId="Styl1">
    <w:name w:val="Styl1"/>
    <w:uiPriority w:val="99"/>
    <w:rsid w:val="00710A71"/>
    <w:pPr>
      <w:numPr>
        <w:numId w:val="4"/>
      </w:numPr>
    </w:pPr>
  </w:style>
  <w:style w:type="paragraph" w:styleId="Spistreci4">
    <w:name w:val="toc 4"/>
    <w:basedOn w:val="Normalny"/>
    <w:next w:val="Normalny"/>
    <w:autoRedefine/>
    <w:uiPriority w:val="39"/>
    <w:rsid w:val="00710A71"/>
    <w:pPr>
      <w:spacing w:after="100"/>
      <w:ind w:left="600"/>
    </w:pPr>
  </w:style>
  <w:style w:type="paragraph" w:styleId="Lista3">
    <w:name w:val="List 3"/>
    <w:basedOn w:val="Normalny"/>
    <w:autoRedefine/>
    <w:qFormat/>
    <w:rsid w:val="00710A71"/>
    <w:pPr>
      <w:numPr>
        <w:ilvl w:val="2"/>
        <w:numId w:val="3"/>
      </w:numPr>
    </w:pPr>
  </w:style>
  <w:style w:type="paragraph" w:customStyle="1" w:styleId="TreInformacji">
    <w:name w:val="Treść Informacji"/>
    <w:basedOn w:val="Normalny"/>
    <w:next w:val="Normalny"/>
    <w:qFormat/>
    <w:rsid w:val="00710A71"/>
    <w:pPr>
      <w:spacing w:before="240" w:after="240"/>
      <w:ind w:left="851"/>
    </w:pPr>
    <w:rPr>
      <w:szCs w:val="20"/>
    </w:rPr>
  </w:style>
  <w:style w:type="paragraph" w:customStyle="1" w:styleId="StylLista1Przed12pkt">
    <w:name w:val="Styl Lista 1 + Przed:  12 pkt"/>
    <w:basedOn w:val="Lista1"/>
    <w:rsid w:val="00710A71"/>
    <w:pPr>
      <w:spacing w:before="360"/>
      <w:ind w:left="357" w:hanging="357"/>
    </w:pPr>
    <w:rPr>
      <w:rFonts w:cs="Times New Roman"/>
      <w:szCs w:val="20"/>
    </w:rPr>
  </w:style>
  <w:style w:type="paragraph" w:styleId="Poprawka">
    <w:name w:val="Revision"/>
    <w:hidden/>
    <w:uiPriority w:val="99"/>
    <w:semiHidden/>
    <w:rsid w:val="00710A71"/>
    <w:rPr>
      <w:sz w:val="24"/>
      <w:szCs w:val="24"/>
    </w:rPr>
  </w:style>
  <w:style w:type="paragraph" w:customStyle="1" w:styleId="Lista10">
    <w:name w:val="Lista_1"/>
    <w:basedOn w:val="Lista"/>
    <w:autoRedefine/>
    <w:qFormat/>
    <w:rsid w:val="00710A71"/>
    <w:pPr>
      <w:widowControl w:val="0"/>
      <w:autoSpaceDE w:val="0"/>
      <w:autoSpaceDN w:val="0"/>
      <w:adjustRightInd w:val="0"/>
      <w:spacing w:before="60" w:after="60"/>
      <w:ind w:left="1440" w:hanging="360"/>
      <w:contextualSpacing w:val="0"/>
    </w:pPr>
    <w:rPr>
      <w:rFonts w:cs="Calibri"/>
      <w:szCs w:val="22"/>
    </w:rPr>
  </w:style>
  <w:style w:type="paragraph" w:styleId="Lista">
    <w:name w:val="List"/>
    <w:basedOn w:val="Normalny"/>
    <w:rsid w:val="00710A71"/>
    <w:pPr>
      <w:ind w:left="283" w:hanging="283"/>
      <w:contextualSpacing/>
    </w:pPr>
  </w:style>
  <w:style w:type="paragraph" w:styleId="Tekstprzypisudolnego">
    <w:name w:val="footnote text"/>
    <w:basedOn w:val="Normalny"/>
    <w:link w:val="TekstprzypisudolnegoZnak"/>
    <w:rsid w:val="00710A71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10A71"/>
    <w:rPr>
      <w:rFonts w:ascii="Calibri" w:hAnsi="Calibri"/>
    </w:rPr>
  </w:style>
  <w:style w:type="character" w:styleId="Odwoanieprzypisudolnego">
    <w:name w:val="footnote reference"/>
    <w:basedOn w:val="Domylnaczcionkaakapitu"/>
    <w:rsid w:val="00710A71"/>
    <w:rPr>
      <w:vertAlign w:val="superscript"/>
    </w:rPr>
  </w:style>
  <w:style w:type="numbering" w:customStyle="1" w:styleId="paragrafustepnumerlitera">
    <w:name w:val="paragraf/ustep/numer/litera"/>
    <w:uiPriority w:val="99"/>
    <w:rsid w:val="00710A71"/>
    <w:pPr>
      <w:numPr>
        <w:numId w:val="1"/>
      </w:numPr>
    </w:pPr>
  </w:style>
  <w:style w:type="character" w:styleId="UyteHipercze">
    <w:name w:val="FollowedHyperlink"/>
    <w:basedOn w:val="Domylnaczcionkaakapitu"/>
    <w:rsid w:val="00710A71"/>
    <w:rPr>
      <w:color w:val="96607D" w:themeColor="followedHyperlink"/>
      <w:u w:val="single"/>
    </w:rPr>
  </w:style>
  <w:style w:type="character" w:customStyle="1" w:styleId="StylOdwoanieprzypisudolnegoCzarny">
    <w:name w:val="Styl Odwołanie przypisu dolnego + Czarny"/>
    <w:basedOn w:val="Odwoanieprzypisudolnego"/>
    <w:rsid w:val="00710A71"/>
    <w:rPr>
      <w:rFonts w:ascii="Calibri" w:hAnsi="Calibri"/>
      <w:b w:val="0"/>
      <w:i w:val="0"/>
      <w:color w:val="000000"/>
      <w:sz w:val="20"/>
      <w:vertAlign w:val="superscript"/>
    </w:rPr>
  </w:style>
  <w:style w:type="character" w:styleId="Pogrubienie">
    <w:name w:val="Strong"/>
    <w:uiPriority w:val="22"/>
    <w:qFormat/>
    <w:rsid w:val="00710A7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710A7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10A71"/>
    <w:rPr>
      <w:color w:val="605E5C"/>
      <w:shd w:val="clear" w:color="auto" w:fill="E1DFDD"/>
    </w:rPr>
  </w:style>
  <w:style w:type="paragraph" w:styleId="NormalnyWeb">
    <w:name w:val="Normal (Web)"/>
    <w:basedOn w:val="Normalny"/>
    <w:rsid w:val="00710A71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0A71"/>
    <w:rPr>
      <w:color w:val="605E5C"/>
      <w:shd w:val="clear" w:color="auto" w:fill="E1DFDD"/>
    </w:rPr>
  </w:style>
  <w:style w:type="paragraph" w:styleId="Nagwekspisutreci">
    <w:name w:val="TOC Heading"/>
    <w:basedOn w:val="Normalny"/>
    <w:next w:val="Normalny"/>
    <w:autoRedefine/>
    <w:uiPriority w:val="39"/>
    <w:unhideWhenUsed/>
    <w:rsid w:val="00710A71"/>
    <w:pPr>
      <w:keepLines/>
      <w:spacing w:before="240" w:after="240" w:line="259" w:lineRule="auto"/>
    </w:pPr>
    <w:rPr>
      <w:rFonts w:eastAsiaTheme="majorEastAsia" w:cstheme="majorBidi"/>
      <w:b/>
      <w:bCs/>
      <w:color w:val="027256"/>
      <w:spacing w:val="-10"/>
      <w:szCs w:val="20"/>
    </w:rPr>
  </w:style>
  <w:style w:type="paragraph" w:styleId="Spistreci2">
    <w:name w:val="toc 2"/>
    <w:basedOn w:val="Normalny"/>
    <w:next w:val="Normalny"/>
    <w:autoRedefine/>
    <w:uiPriority w:val="39"/>
    <w:rsid w:val="00710A71"/>
    <w:pPr>
      <w:tabs>
        <w:tab w:val="right" w:leader="dot" w:pos="9638"/>
      </w:tabs>
      <w:spacing w:after="100"/>
      <w:ind w:left="240"/>
    </w:pPr>
  </w:style>
  <w:style w:type="character" w:customStyle="1" w:styleId="StylStylOdwoanieprzypisudolnegoCzarny12pkt">
    <w:name w:val="Styl Styl Odwołanie przypisu dolnego + Czarny + 12 pkt"/>
    <w:basedOn w:val="Wyrnienieintensywne"/>
    <w:qFormat/>
    <w:rsid w:val="00710A71"/>
    <w:rPr>
      <w:rFonts w:ascii="Calibri" w:hAnsi="Calibri"/>
      <w:i w:val="0"/>
      <w:iCs/>
      <w:color w:val="auto"/>
      <w:sz w:val="24"/>
    </w:rPr>
  </w:style>
  <w:style w:type="paragraph" w:styleId="Spistreci1">
    <w:name w:val="toc 1"/>
    <w:basedOn w:val="Normalny"/>
    <w:next w:val="Normalny"/>
    <w:autoRedefine/>
    <w:uiPriority w:val="39"/>
    <w:rsid w:val="00710A71"/>
    <w:pPr>
      <w:tabs>
        <w:tab w:val="right" w:leader="dot" w:pos="9638"/>
      </w:tabs>
    </w:pPr>
  </w:style>
  <w:style w:type="character" w:customStyle="1" w:styleId="Nagwek1Znak">
    <w:name w:val="Nagłówek 1 Znak"/>
    <w:basedOn w:val="Domylnaczcionkaakapitu"/>
    <w:link w:val="Nagwek1"/>
    <w:rsid w:val="00EA74C2"/>
    <w:rPr>
      <w:rFonts w:ascii="Calibri" w:hAnsi="Calibri"/>
      <w:b/>
      <w:color w:val="027256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710A71"/>
    <w:rPr>
      <w:rFonts w:ascii="Calibri" w:hAnsi="Calibri"/>
      <w:b/>
      <w:color w:val="027256"/>
      <w:szCs w:val="24"/>
    </w:rPr>
  </w:style>
  <w:style w:type="character" w:styleId="Wyrnienieintensywne">
    <w:name w:val="Intense Emphasis"/>
    <w:basedOn w:val="Domylnaczcionkaakapitu"/>
    <w:uiPriority w:val="21"/>
    <w:qFormat/>
    <w:rsid w:val="00710A71"/>
    <w:rPr>
      <w:i/>
      <w:iCs/>
      <w:color w:val="156082" w:themeColor="accent1"/>
    </w:rPr>
  </w:style>
  <w:style w:type="paragraph" w:customStyle="1" w:styleId="Mniejszaczcionka">
    <w:name w:val="Mniejsza czcionka"/>
    <w:basedOn w:val="Normalny"/>
    <w:link w:val="MniejszaczcionkaZnak"/>
    <w:qFormat/>
    <w:rsid w:val="00710A71"/>
    <w:pPr>
      <w:spacing w:line="240" w:lineRule="auto"/>
    </w:pPr>
    <w:rPr>
      <w:color w:val="343434"/>
      <w:sz w:val="16"/>
      <w:szCs w:val="16"/>
    </w:rPr>
  </w:style>
  <w:style w:type="character" w:customStyle="1" w:styleId="MniejszaczcionkaZnak">
    <w:name w:val="Mniejsza czcionka Znak"/>
    <w:link w:val="Mniejszaczcionka"/>
    <w:rsid w:val="00710A71"/>
    <w:rPr>
      <w:rFonts w:ascii="Calibri" w:hAnsi="Calibri"/>
      <w:color w:val="343434"/>
      <w:sz w:val="16"/>
      <w:szCs w:val="16"/>
    </w:rPr>
  </w:style>
  <w:style w:type="paragraph" w:customStyle="1" w:styleId="Lista1">
    <w:name w:val="Lista 1"/>
    <w:basedOn w:val="Normalny"/>
    <w:autoRedefine/>
    <w:qFormat/>
    <w:rsid w:val="00710A71"/>
    <w:pPr>
      <w:widowControl w:val="0"/>
      <w:numPr>
        <w:numId w:val="3"/>
      </w:numPr>
      <w:autoSpaceDE w:val="0"/>
      <w:autoSpaceDN w:val="0"/>
      <w:adjustRightInd w:val="0"/>
    </w:pPr>
    <w:rPr>
      <w:rFonts w:cs="Calibri"/>
      <w:szCs w:val="22"/>
    </w:rPr>
  </w:style>
  <w:style w:type="paragraph" w:customStyle="1" w:styleId="Akapit">
    <w:name w:val="Akapit"/>
    <w:basedOn w:val="Normalny"/>
    <w:link w:val="AkapitZnak"/>
    <w:qFormat/>
    <w:rsid w:val="00710A71"/>
    <w:pPr>
      <w:spacing w:after="160"/>
    </w:pPr>
    <w:rPr>
      <w:color w:val="343434"/>
      <w:sz w:val="22"/>
    </w:rPr>
  </w:style>
  <w:style w:type="paragraph" w:styleId="Legenda">
    <w:name w:val="caption"/>
    <w:basedOn w:val="Normalny"/>
    <w:next w:val="Normalny"/>
    <w:semiHidden/>
    <w:unhideWhenUsed/>
    <w:qFormat/>
    <w:rsid w:val="00710A71"/>
    <w:pPr>
      <w:spacing w:after="200"/>
    </w:pPr>
    <w:rPr>
      <w:i/>
      <w:iCs/>
      <w:color w:val="0E2841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A71"/>
    <w:rPr>
      <w:color w:val="605E5C"/>
      <w:shd w:val="clear" w:color="auto" w:fill="E1DFDD"/>
    </w:rPr>
  </w:style>
  <w:style w:type="paragraph" w:styleId="Tytu">
    <w:name w:val="Title"/>
    <w:aliases w:val="Tytuł_1"/>
    <w:basedOn w:val="Normalny"/>
    <w:next w:val="Normalny"/>
    <w:link w:val="TytuZnak"/>
    <w:qFormat/>
    <w:rsid w:val="00710A71"/>
    <w:pPr>
      <w:contextualSpacing/>
    </w:pPr>
    <w:rPr>
      <w:rFonts w:eastAsiaTheme="majorEastAsia" w:cstheme="majorBidi"/>
      <w:color w:val="027256"/>
      <w:spacing w:val="-10"/>
      <w:kern w:val="28"/>
      <w:sz w:val="36"/>
      <w:szCs w:val="56"/>
    </w:rPr>
  </w:style>
  <w:style w:type="character" w:customStyle="1" w:styleId="TytuZnak">
    <w:name w:val="Tytuł Znak"/>
    <w:aliases w:val="Tytuł_1 Znak"/>
    <w:basedOn w:val="Domylnaczcionkaakapitu"/>
    <w:link w:val="Tytu"/>
    <w:rsid w:val="00710A71"/>
    <w:rPr>
      <w:rFonts w:ascii="Calibri" w:eastAsiaTheme="majorEastAsia" w:hAnsi="Calibri" w:cstheme="majorBidi"/>
      <w:color w:val="027256"/>
      <w:spacing w:val="-10"/>
      <w:kern w:val="28"/>
      <w:sz w:val="36"/>
      <w:szCs w:val="56"/>
    </w:rPr>
  </w:style>
  <w:style w:type="character" w:customStyle="1" w:styleId="AkapitZnak">
    <w:name w:val="Akapit Znak"/>
    <w:link w:val="Akapit"/>
    <w:rsid w:val="00710A71"/>
    <w:rPr>
      <w:rFonts w:ascii="Calibri" w:hAnsi="Calibri"/>
      <w:color w:val="343434"/>
      <w:sz w:val="22"/>
      <w:szCs w:val="24"/>
    </w:rPr>
  </w:style>
  <w:style w:type="paragraph" w:styleId="Lista2">
    <w:name w:val="List 2"/>
    <w:basedOn w:val="Normalny"/>
    <w:autoRedefine/>
    <w:qFormat/>
    <w:rsid w:val="00710A71"/>
    <w:pPr>
      <w:numPr>
        <w:ilvl w:val="1"/>
        <w:numId w:val="3"/>
      </w:numPr>
    </w:pPr>
  </w:style>
  <w:style w:type="numbering" w:customStyle="1" w:styleId="StyllistyBPS">
    <w:name w:val="Styl_listy_BPS"/>
    <w:uiPriority w:val="99"/>
    <w:rsid w:val="00710A71"/>
    <w:pPr>
      <w:numPr>
        <w:numId w:val="2"/>
      </w:numPr>
    </w:pPr>
  </w:style>
  <w:style w:type="paragraph" w:customStyle="1" w:styleId="Nagwek3">
    <w:name w:val="Nagłówek_3"/>
    <w:basedOn w:val="Normalny"/>
    <w:next w:val="Normalny"/>
    <w:link w:val="Nagwek3Znak"/>
    <w:autoRedefine/>
    <w:qFormat/>
    <w:rsid w:val="00710A71"/>
    <w:pPr>
      <w:keepNext/>
      <w:spacing w:before="240" w:after="120"/>
      <w:outlineLvl w:val="2"/>
    </w:pPr>
    <w:rPr>
      <w:rFonts w:cstheme="minorHAnsi"/>
      <w:b/>
      <w:bCs/>
      <w:color w:val="027256"/>
      <w:szCs w:val="26"/>
    </w:rPr>
  </w:style>
  <w:style w:type="character" w:customStyle="1" w:styleId="Nagwek3Znak">
    <w:name w:val="Nagłówek_3 Znak"/>
    <w:basedOn w:val="Domylnaczcionkaakapitu"/>
    <w:link w:val="Nagwek3"/>
    <w:rsid w:val="00710A71"/>
    <w:rPr>
      <w:rFonts w:ascii="Calibri" w:hAnsi="Calibri" w:cstheme="minorHAnsi"/>
      <w:b/>
      <w:bCs/>
      <w:color w:val="027256"/>
      <w:szCs w:val="26"/>
    </w:rPr>
  </w:style>
  <w:style w:type="paragraph" w:customStyle="1" w:styleId="StylLista28pktPrzed3pktPo3pkt">
    <w:name w:val="Styl Lista 2 + 8 pkt Przed:  3 pkt Po:  3 pkt"/>
    <w:basedOn w:val="Lista2"/>
    <w:autoRedefine/>
    <w:rsid w:val="00710A71"/>
    <w:pPr>
      <w:spacing w:before="60" w:after="60"/>
    </w:pPr>
    <w:rPr>
      <w:sz w:val="16"/>
      <w:szCs w:val="20"/>
    </w:rPr>
  </w:style>
  <w:style w:type="paragraph" w:customStyle="1" w:styleId="Nagwektabeli">
    <w:name w:val="Nagłówek tabeli"/>
    <w:basedOn w:val="Normalny"/>
    <w:autoRedefine/>
    <w:qFormat/>
    <w:rsid w:val="00710A71"/>
    <w:pPr>
      <w:jc w:val="center"/>
    </w:pPr>
    <w:rPr>
      <w:b/>
      <w:bCs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130C"/>
    <w:rPr>
      <w:rFonts w:ascii="Arial Narrow" w:hAnsi="Arial Narro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ik.pl/rejestr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ontakt@bik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ik.pl/rejestr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ontakt@bik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.konikiewic\Desktop\Dokumenty%20przerobione\Szablon%20BPS_13.06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01E35E4849B428AEDC4E0CDF4057D" ma:contentTypeVersion="3" ma:contentTypeDescription="Utwórz nowy dokument." ma:contentTypeScope="" ma:versionID="fea463f028c444a5e38f7e5136ada55b">
  <xsd:schema xmlns:xsd="http://www.w3.org/2001/XMLSchema" xmlns:xs="http://www.w3.org/2001/XMLSchema" xmlns:p="http://schemas.microsoft.com/office/2006/metadata/properties" xmlns:ns2="f1e2aae6-e09b-4899-a156-31a49ed4c2b5" targetNamespace="http://schemas.microsoft.com/office/2006/metadata/properties" ma:root="true" ma:fieldsID="6c02058abcff4e755751f7cf52686967" ns2:_="">
    <xsd:import namespace="f1e2aae6-e09b-4899-a156-31a49ed4c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aae6-e09b-4899-a156-31a49ed4c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A97C7A-31A7-455E-85A1-9E6E75641B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47599B-BFCE-4C54-8D3C-CBDA22C78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2aae6-e09b-4899-a156-31a49ed4c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0BB557-D969-4329-BE4D-C23BE9D274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BPS_13.06</Template>
  <TotalTime>0</TotalTime>
  <Pages>8</Pages>
  <Words>2622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BIK klauzule RODO</vt:lpstr>
    </vt:vector>
  </TitlesOfParts>
  <Company>BIK S.A.</Company>
  <LinksUpToDate>false</LinksUpToDate>
  <CharactersWithSpaces>18324</CharactersWithSpaces>
  <SharedDoc>false</SharedDoc>
  <HLinks>
    <vt:vector size="24" baseType="variant">
      <vt:variant>
        <vt:i4>7340130</vt:i4>
      </vt:variant>
      <vt:variant>
        <vt:i4>9</vt:i4>
      </vt:variant>
      <vt:variant>
        <vt:i4>0</vt:i4>
      </vt:variant>
      <vt:variant>
        <vt:i4>5</vt:i4>
      </vt:variant>
      <vt:variant>
        <vt:lpwstr>http://www.bik.pl/rejestry</vt:lpwstr>
      </vt:variant>
      <vt:variant>
        <vt:lpwstr/>
      </vt:variant>
      <vt:variant>
        <vt:i4>720957</vt:i4>
      </vt:variant>
      <vt:variant>
        <vt:i4>6</vt:i4>
      </vt:variant>
      <vt:variant>
        <vt:i4>0</vt:i4>
      </vt:variant>
      <vt:variant>
        <vt:i4>5</vt:i4>
      </vt:variant>
      <vt:variant>
        <vt:lpwstr>mailto:kontakt@bik.pl</vt:lpwstr>
      </vt:variant>
      <vt:variant>
        <vt:lpwstr/>
      </vt:variant>
      <vt:variant>
        <vt:i4>7340130</vt:i4>
      </vt:variant>
      <vt:variant>
        <vt:i4>3</vt:i4>
      </vt:variant>
      <vt:variant>
        <vt:i4>0</vt:i4>
      </vt:variant>
      <vt:variant>
        <vt:i4>5</vt:i4>
      </vt:variant>
      <vt:variant>
        <vt:lpwstr>http://www.bik.pl/rejestry</vt:lpwstr>
      </vt:variant>
      <vt:variant>
        <vt:lpwstr/>
      </vt:variant>
      <vt:variant>
        <vt:i4>720957</vt:i4>
      </vt:variant>
      <vt:variant>
        <vt:i4>0</vt:i4>
      </vt:variant>
      <vt:variant>
        <vt:i4>0</vt:i4>
      </vt:variant>
      <vt:variant>
        <vt:i4>5</vt:i4>
      </vt:variant>
      <vt:variant>
        <vt:lpwstr>mailto:kontakt@bik.pl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BIK klauzule RODO</dc:title>
  <dc:subject/>
  <dc:creator>Bank BPS S.A</dc:creator>
  <cp:keywords>RODO</cp:keywords>
  <cp:lastModifiedBy>Joanna Golonko</cp:lastModifiedBy>
  <cp:revision>2</cp:revision>
  <cp:lastPrinted>2015-03-11T08:17:00Z</cp:lastPrinted>
  <dcterms:created xsi:type="dcterms:W3CDTF">2026-09-28T09:24:00Z</dcterms:created>
  <dcterms:modified xsi:type="dcterms:W3CDTF">2026-09-28T09:24:00Z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832789-9aa1-4f04-9c65-85f3123b866c_Enabled">
    <vt:lpwstr>true</vt:lpwstr>
  </property>
  <property fmtid="{D5CDD505-2E9C-101B-9397-08002B2CF9AE}" pid="3" name="MSIP_Label_d7832789-9aa1-4f04-9c65-85f3123b866c_SetDate">
    <vt:lpwstr>2025-08-14T12:18:10Z</vt:lpwstr>
  </property>
  <property fmtid="{D5CDD505-2E9C-101B-9397-08002B2CF9AE}" pid="4" name="MSIP_Label_d7832789-9aa1-4f04-9c65-85f3123b866c_Method">
    <vt:lpwstr>Standard</vt:lpwstr>
  </property>
  <property fmtid="{D5CDD505-2E9C-101B-9397-08002B2CF9AE}" pid="5" name="MSIP_Label_d7832789-9aa1-4f04-9c65-85f3123b866c_Name">
    <vt:lpwstr>Public</vt:lpwstr>
  </property>
  <property fmtid="{D5CDD505-2E9C-101B-9397-08002B2CF9AE}" pid="6" name="MSIP_Label_d7832789-9aa1-4f04-9c65-85f3123b866c_SiteId">
    <vt:lpwstr>a9fe57fa-5bc6-4f9e-8162-9b2b050abe12</vt:lpwstr>
  </property>
  <property fmtid="{D5CDD505-2E9C-101B-9397-08002B2CF9AE}" pid="7" name="MSIP_Label_d7832789-9aa1-4f04-9c65-85f3123b866c_ActionId">
    <vt:lpwstr>7a392ec6-c38a-4cd5-a9de-12b4079a38ae</vt:lpwstr>
  </property>
  <property fmtid="{D5CDD505-2E9C-101B-9397-08002B2CF9AE}" pid="8" name="MSIP_Label_d7832789-9aa1-4f04-9c65-85f3123b866c_ContentBits">
    <vt:lpwstr>0</vt:lpwstr>
  </property>
  <property fmtid="{D5CDD505-2E9C-101B-9397-08002B2CF9AE}" pid="9" name="MSIP_Label_d7832789-9aa1-4f04-9c65-85f3123b866c_Tag">
    <vt:lpwstr>10, 3, 0, 1</vt:lpwstr>
  </property>
  <property fmtid="{D5CDD505-2E9C-101B-9397-08002B2CF9AE}" pid="10" name="BPSKATEGORIA">
    <vt:lpwstr>Do-uz-wewnetrznego</vt:lpwstr>
  </property>
  <property fmtid="{D5CDD505-2E9C-101B-9397-08002B2CF9AE}" pid="11" name="BPSClassifiedBy">
    <vt:lpwstr>BANK\agnieszka.pawlowska;Agnieszka Pawłowska</vt:lpwstr>
  </property>
  <property fmtid="{D5CDD505-2E9C-101B-9397-08002B2CF9AE}" pid="12" name="BPSClassificationDate">
    <vt:lpwstr>2018-02-12T14:40:11.6194179+01:00</vt:lpwstr>
  </property>
  <property fmtid="{D5CDD505-2E9C-101B-9397-08002B2CF9AE}" pid="13" name="BPSGRNItemId">
    <vt:lpwstr>GRN-ed6a5729-93bc-4dcd-8dec-d6bbdc243a12</vt:lpwstr>
  </property>
  <property fmtid="{D5CDD505-2E9C-101B-9397-08002B2CF9AE}" pid="14" name="BPSHash">
    <vt:lpwstr>IohIc2BJmC1HLu4F9mEIEtPfNZAc7jxX+5NEuFgfmF4=</vt:lpwstr>
  </property>
  <property fmtid="{D5CDD505-2E9C-101B-9397-08002B2CF9AE}" pid="15" name="BPSRefresh">
    <vt:lpwstr>False</vt:lpwstr>
  </property>
</Properties>
</file>