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E00A2" w14:textId="19A7A14B" w:rsidR="00EE1E19" w:rsidRPr="00BE23FD" w:rsidRDefault="00EE1E19" w:rsidP="00BE23FD">
      <w:pPr>
        <w:spacing w:after="0" w:line="240" w:lineRule="auto"/>
        <w:ind w:left="5245"/>
        <w:rPr>
          <w:rFonts w:ascii="Times New Roman" w:hAnsi="Times New Roman" w:cs="Times New Roman"/>
        </w:rPr>
      </w:pPr>
      <w:r w:rsidRPr="00BE23FD">
        <w:rPr>
          <w:rFonts w:ascii="Times New Roman" w:hAnsi="Times New Roman" w:cs="Times New Roman"/>
        </w:rPr>
        <w:t xml:space="preserve">Załącznik nr </w:t>
      </w:r>
      <w:r w:rsidR="00BE26BC" w:rsidRPr="00BE23FD">
        <w:rPr>
          <w:rFonts w:ascii="Times New Roman" w:hAnsi="Times New Roman" w:cs="Times New Roman"/>
        </w:rPr>
        <w:t>2</w:t>
      </w:r>
    </w:p>
    <w:p w14:paraId="06CB29D6" w14:textId="3B6836AF" w:rsidR="00EE1E19" w:rsidRPr="00BE23FD" w:rsidRDefault="00EE1E19" w:rsidP="00BE23FD">
      <w:pPr>
        <w:spacing w:after="0" w:line="240" w:lineRule="auto"/>
        <w:ind w:left="5245"/>
        <w:rPr>
          <w:rFonts w:ascii="Times New Roman" w:hAnsi="Times New Roman" w:cs="Times New Roman"/>
          <w:snapToGrid w:val="0"/>
        </w:rPr>
      </w:pPr>
      <w:r w:rsidRPr="00BE23FD">
        <w:rPr>
          <w:rFonts w:ascii="Times New Roman" w:hAnsi="Times New Roman" w:cs="Times New Roman"/>
        </w:rPr>
        <w:t xml:space="preserve">do Instrukcji </w:t>
      </w:r>
      <w:r w:rsidRPr="00BE23FD">
        <w:rPr>
          <w:rFonts w:ascii="Times New Roman" w:hAnsi="Times New Roman" w:cs="Times New Roman"/>
          <w:snapToGrid w:val="0"/>
        </w:rPr>
        <w:t xml:space="preserve">Plan postępowania </w:t>
      </w:r>
      <w:r w:rsidR="00BE23FD" w:rsidRPr="00BE23FD">
        <w:rPr>
          <w:rFonts w:ascii="Times New Roman" w:hAnsi="Times New Roman" w:cs="Times New Roman"/>
          <w:snapToGrid w:val="0"/>
        </w:rPr>
        <w:br/>
      </w:r>
      <w:r w:rsidRPr="00BE23FD">
        <w:rPr>
          <w:rFonts w:ascii="Times New Roman" w:hAnsi="Times New Roman" w:cs="Times New Roman"/>
          <w:snapToGrid w:val="0"/>
        </w:rPr>
        <w:t xml:space="preserve">w przypadku istotnych zmian lub zaprzestania opracowywania wskaźników referencyjnych </w:t>
      </w:r>
      <w:r w:rsidRPr="00535D03">
        <w:rPr>
          <w:rFonts w:ascii="Times New Roman" w:hAnsi="Times New Roman" w:cs="Times New Roman"/>
          <w:snapToGrid w:val="0"/>
        </w:rPr>
        <w:t>stosowanych w</w:t>
      </w:r>
      <w:r w:rsidR="00BE23FD" w:rsidRPr="00535D03">
        <w:rPr>
          <w:rFonts w:ascii="Times New Roman" w:hAnsi="Times New Roman" w:cs="Times New Roman"/>
          <w:snapToGrid w:val="0"/>
        </w:rPr>
        <w:t xml:space="preserve"> </w:t>
      </w:r>
      <w:r w:rsidRPr="00535D03">
        <w:rPr>
          <w:rFonts w:ascii="Times New Roman" w:hAnsi="Times New Roman" w:cs="Times New Roman"/>
          <w:snapToGrid w:val="0"/>
        </w:rPr>
        <w:t xml:space="preserve">Banku </w:t>
      </w:r>
      <w:r w:rsidR="005E4181" w:rsidRPr="00535D03">
        <w:rPr>
          <w:rFonts w:ascii="Times New Roman" w:hAnsi="Times New Roman" w:cs="Times New Roman"/>
          <w:snapToGrid w:val="0"/>
        </w:rPr>
        <w:t xml:space="preserve">Spółdzielczym w </w:t>
      </w:r>
      <w:r w:rsidR="008224D8">
        <w:rPr>
          <w:rFonts w:ascii="Times New Roman" w:hAnsi="Times New Roman" w:cs="Times New Roman"/>
          <w:snapToGrid w:val="0"/>
        </w:rPr>
        <w:t>Hajnówce</w:t>
      </w:r>
    </w:p>
    <w:p w14:paraId="22872755" w14:textId="14D23FE4" w:rsidR="00EE1E19" w:rsidRPr="00BE23FD" w:rsidRDefault="00EE1E19" w:rsidP="00EE1E1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0E9D5FB" w14:textId="77777777" w:rsidR="00BE23FD" w:rsidRPr="00BE23FD" w:rsidRDefault="00BE23FD" w:rsidP="00EE1E1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082E8D29" w14:textId="66F2B229" w:rsidR="00736B9B" w:rsidRPr="008D2F2D" w:rsidRDefault="00736B9B" w:rsidP="00736B9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2F2D">
        <w:rPr>
          <w:rFonts w:ascii="Times New Roman" w:hAnsi="Times New Roman" w:cs="Times New Roman"/>
          <w:b/>
          <w:sz w:val="24"/>
          <w:szCs w:val="24"/>
        </w:rPr>
        <w:t>Wzory klauzul awaryjnych</w:t>
      </w:r>
    </w:p>
    <w:p w14:paraId="13A495B9" w14:textId="77777777" w:rsidR="00BE4ADB" w:rsidRPr="00BE23FD" w:rsidRDefault="00BE4ADB" w:rsidP="00EE1E1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00732107" w14:textId="3C9826AF" w:rsidR="005D27C6" w:rsidRPr="008D2F2D" w:rsidRDefault="00AD4BAC" w:rsidP="00BE26BC">
      <w:pPr>
        <w:pStyle w:val="Akapitzlist"/>
        <w:numPr>
          <w:ilvl w:val="0"/>
          <w:numId w:val="37"/>
        </w:numPr>
        <w:tabs>
          <w:tab w:val="left" w:pos="-720"/>
          <w:tab w:val="left" w:pos="0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ind w:left="426" w:hanging="426"/>
        <w:jc w:val="both"/>
        <w:rPr>
          <w:rFonts w:ascii="Times New Roman" w:hAnsi="Times New Roman" w:cs="Times New Roman"/>
          <w:b/>
          <w:i/>
          <w:color w:val="000000"/>
        </w:rPr>
      </w:pPr>
      <w:r w:rsidRPr="008D2F2D">
        <w:rPr>
          <w:rFonts w:ascii="Times New Roman" w:hAnsi="Times New Roman" w:cs="Times New Roman"/>
          <w:b/>
          <w:i/>
          <w:color w:val="000000"/>
        </w:rPr>
        <w:t xml:space="preserve">Klauzula awaryjna </w:t>
      </w:r>
      <w:r w:rsidR="0072698A" w:rsidRPr="008D2F2D">
        <w:rPr>
          <w:rFonts w:ascii="Times New Roman" w:hAnsi="Times New Roman" w:cs="Times New Roman"/>
          <w:b/>
          <w:i/>
          <w:color w:val="000000"/>
        </w:rPr>
        <w:t>na wypadek</w:t>
      </w:r>
      <w:r w:rsidR="00BD549F" w:rsidRPr="008D2F2D">
        <w:rPr>
          <w:rFonts w:ascii="Times New Roman" w:hAnsi="Times New Roman" w:cs="Times New Roman"/>
          <w:b/>
          <w:i/>
          <w:color w:val="000000"/>
        </w:rPr>
        <w:t xml:space="preserve"> Istotnej zmiany Wskaźnika referencyjnego albo zaprzestania opracow</w:t>
      </w:r>
      <w:r w:rsidR="001D4F26" w:rsidRPr="008D2F2D">
        <w:rPr>
          <w:rFonts w:ascii="Times New Roman" w:hAnsi="Times New Roman" w:cs="Times New Roman"/>
          <w:b/>
          <w:i/>
          <w:color w:val="000000"/>
        </w:rPr>
        <w:t>ywa</w:t>
      </w:r>
      <w:r w:rsidR="00BD549F" w:rsidRPr="008D2F2D">
        <w:rPr>
          <w:rFonts w:ascii="Times New Roman" w:hAnsi="Times New Roman" w:cs="Times New Roman"/>
          <w:b/>
          <w:i/>
          <w:color w:val="000000"/>
        </w:rPr>
        <w:t>nia Wskaźnika referencyjnego, zgodnie z którym ustalane jest oprocentowanie kredytu</w:t>
      </w:r>
      <w:r w:rsidR="00BE26BC" w:rsidRPr="008D2F2D">
        <w:rPr>
          <w:rFonts w:ascii="Times New Roman" w:hAnsi="Times New Roman" w:cs="Times New Roman"/>
          <w:b/>
          <w:i/>
          <w:color w:val="000000"/>
        </w:rPr>
        <w:t xml:space="preserve"> </w:t>
      </w:r>
      <w:r w:rsidR="005D27C6" w:rsidRPr="008D2F2D">
        <w:rPr>
          <w:rFonts w:ascii="Times New Roman" w:hAnsi="Times New Roman" w:cs="Times New Roman"/>
          <w:b/>
          <w:i/>
          <w:color w:val="000000"/>
        </w:rPr>
        <w:t>(Klienci detaliczni – konsumenci)</w:t>
      </w:r>
    </w:p>
    <w:p w14:paraId="65F19ADD" w14:textId="77777777" w:rsidR="00BD549F" w:rsidRPr="00BE23FD" w:rsidRDefault="00BD549F" w:rsidP="00BD549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A255A64" w14:textId="2DAFE20E" w:rsidR="00B610B2" w:rsidRPr="00BE23FD" w:rsidRDefault="00DE7F16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5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Na potrzeby niniejszej klauzuli poniższe pojęcia otrzymują następujące znaczenie:</w:t>
      </w:r>
    </w:p>
    <w:p w14:paraId="3C781FA4" w14:textId="252D03C9" w:rsidR="00B610B2" w:rsidRPr="00BE23FD" w:rsidRDefault="00BD549F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Administrator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E23FD" w:rsidRPr="00BE23FD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osoba fizyczna lub prawna, niezależna od Banku, sprawująca kontrolę nad opracowywaniem Wskaźnika referencyjnego oraz, w</w:t>
      </w:r>
      <w:r w:rsidR="00BE23F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szczególności, zarządzająca mechanizmami dotyczącymi wyznaczania </w:t>
      </w:r>
      <w:r w:rsidR="00D63AA8" w:rsidRPr="00BE23FD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skaźnika referencyjnego, gromadząca i analizująca dane wejściowe, </w:t>
      </w:r>
      <w:r w:rsidR="00D73631" w:rsidRPr="00BE23FD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yznaczająca wskaźnik referencyjny i publikująca go;</w:t>
      </w:r>
    </w:p>
    <w:p w14:paraId="1DBB4EC9" w14:textId="4F7D1B2D" w:rsidR="00B610B2" w:rsidRPr="00BE23FD" w:rsidRDefault="00BD549F" w:rsidP="002044F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Istotna zmiana </w:t>
      </w:r>
      <w:r w:rsidR="002044FC">
        <w:rPr>
          <w:rFonts w:ascii="Times New Roman" w:hAnsi="Times New Roman" w:cs="Times New Roman"/>
          <w:b/>
          <w:bCs/>
          <w:color w:val="000000"/>
          <w:sz w:val="20"/>
          <w:szCs w:val="20"/>
        </w:rPr>
        <w:t>–</w:t>
      </w: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zmiana sposobu wyznaczania Wskaźnika referencyjnego, którą Administrator uznał i zdefiniował jako istotną, zgodnie z </w:t>
      </w:r>
      <w:r w:rsidR="00D73631" w:rsidRPr="00BE23FD">
        <w:rPr>
          <w:rFonts w:ascii="Times New Roman" w:hAnsi="Times New Roman" w:cs="Times New Roman"/>
          <w:color w:val="000000"/>
          <w:sz w:val="20"/>
          <w:szCs w:val="20"/>
        </w:rPr>
        <w:t>art.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13 Rozporządzenia BMR lub zgodnie z definicją i informacjami publikowanymi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przez Administratora w dokumentacji Wskaźnika referencyjnego,</w:t>
      </w:r>
    </w:p>
    <w:p w14:paraId="50709CB4" w14:textId="468334CE" w:rsidR="00BD549F" w:rsidRPr="00BE23FD" w:rsidRDefault="00BD549F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Korekta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formuła obliczenia wartości </w:t>
      </w:r>
      <w:r w:rsidR="009C1AFB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oprocentowania z zastosowaniem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Wskaźnika alternatywnego niezbędna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w celu skompensowania ekonomicznych skutków Istotnej zmiany Wskaźnika referencyjnego albo Zdarzenia regulacyjnego</w:t>
      </w:r>
      <w:r w:rsidR="003B332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związanego z zastąpieniem dotychczasowego Wskaźnika referencyjnego przez Wskaźnik alternatywny</w:t>
      </w:r>
      <w:r w:rsidR="00C10C95" w:rsidRPr="00BE23FD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5E4F438" w14:textId="5EAD8BFF" w:rsidR="00C10C95" w:rsidRPr="00BE23FD" w:rsidRDefault="00C10C9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Podmiot wyznaczający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– Komisja Europejska, organ nadzoru nad Administratorem, uprawniony organ administracji publicznej lub inny podmiot uprawniony zgodnie z obowiązującymi przepisami do wyznaczenia Wskaźnika alternatywnego oraz Korekty,</w:t>
      </w:r>
    </w:p>
    <w:p w14:paraId="7F6DF925" w14:textId="400EDD67" w:rsidR="00B610B2" w:rsidRPr="00BE23FD" w:rsidRDefault="00BD549F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Rozporządzenie BMR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 Rozporządzenie Parlamentu Europejskiego i Rady (UE) 2016/1011 z dnia 8 czerwca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2016 r. w sprawie indeksów stosowanych jako wskaźniki referencyjne w instrumentach finansowych i umowach finansowych lub do pomiaru wyników funduszy inwestycyjnych i zmieniające dyrektywy 2008/48/WE i 2014/17/UE oraz rozporządzenie (UE) nr 596/2014 z późniejszymi zmianami,</w:t>
      </w:r>
    </w:p>
    <w:p w14:paraId="6C6ED05D" w14:textId="3A85B0ED" w:rsidR="00B610B2" w:rsidRPr="00BE23FD" w:rsidRDefault="00BD549F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Wskaźnik alternatywny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 w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skaźnik referencyjny zastępujący dotychczasowy Wskaźnik referencyjny, dla którego wystąpiło Zdarzenie regulacyjne</w:t>
      </w:r>
      <w:r w:rsidR="00FB0B2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FB0B24" w:rsidRPr="00FB0B24">
        <w:t xml:space="preserve"> </w:t>
      </w:r>
      <w:r w:rsidR="00FB0B24" w:rsidRPr="00FB0B24">
        <w:rPr>
          <w:rFonts w:ascii="Times New Roman" w:hAnsi="Times New Roman" w:cs="Times New Roman"/>
          <w:color w:val="000000"/>
          <w:sz w:val="20"/>
          <w:szCs w:val="20"/>
        </w:rPr>
        <w:t>w szczególności, zamiennik wskaźnika referencyjnego wyznaczony przez Podmiot wyznaczający na podstawie Rozdziału 4A Rozporządzenia BMR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7B3EA32E" w14:textId="69940C05" w:rsidR="00B610B2" w:rsidRPr="00BE23FD" w:rsidRDefault="00BD549F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Wskaźnik referencyjny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– wskaźnik referencyjny w rozumieniu Rozporządzenia BMR</w:t>
      </w:r>
      <w:r w:rsidR="00D63AA8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będący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indeks</w:t>
      </w:r>
      <w:r w:rsidR="00D63AA8" w:rsidRPr="00BE23FD">
        <w:rPr>
          <w:rFonts w:ascii="Times New Roman" w:hAnsi="Times New Roman" w:cs="Times New Roman"/>
          <w:color w:val="000000"/>
          <w:sz w:val="20"/>
          <w:szCs w:val="20"/>
        </w:rPr>
        <w:t>em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stanowiący</w:t>
      </w:r>
      <w:r w:rsidR="00D63AA8" w:rsidRPr="00BE23FD"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odniesienie do określenia kwoty przypadającej do zapłaty z tytułu kredytu,</w:t>
      </w:r>
    </w:p>
    <w:p w14:paraId="461D8EF1" w14:textId="36D91F17" w:rsidR="00BD549F" w:rsidRPr="00BE23FD" w:rsidRDefault="00BD549F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Zdarzenie regulacyjne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 wystąpienie jednego lub kilku z następujących zdarzeń (niezależnych od Banku)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w stosunku do Wskaźnika referencyjnego:</w:t>
      </w:r>
    </w:p>
    <w:p w14:paraId="06A2F867" w14:textId="1FE0A87B" w:rsidR="00B610B2" w:rsidRPr="00BE23FD" w:rsidRDefault="00BD549F" w:rsidP="00BE23FD">
      <w:pPr>
        <w:pStyle w:val="Akapitzlist"/>
        <w:numPr>
          <w:ilvl w:val="0"/>
          <w:numId w:val="20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wydan</w:t>
      </w:r>
      <w:r w:rsidR="00262DB9" w:rsidRPr="00BE23FD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e przez Administratora </w:t>
      </w:r>
      <w:r w:rsidR="00262DB9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oświadczenia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o trwałym zaprzestaniu opracowywania lub publikowania Wskaźnika referencyjnego, o ile nie został wyznaczony następca tego Administratora, który będzie opracowywał i publikował ten Wskaźnik referencyjny</w:t>
      </w:r>
      <w:r w:rsidR="00E3103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lub</w:t>
      </w:r>
    </w:p>
    <w:p w14:paraId="77EC6B84" w14:textId="08AC45A9" w:rsidR="00B610B2" w:rsidRPr="00BE23FD" w:rsidRDefault="00BD549F" w:rsidP="00BE23FD">
      <w:pPr>
        <w:pStyle w:val="Akapitzlist"/>
        <w:numPr>
          <w:ilvl w:val="0"/>
          <w:numId w:val="20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stwierdzenie przez właściwy organ nadzoru, że Administrator lub Wskaźnik referencyjny przez niego opracowywany nie spełnia lub przestał spełniać wymogi wynikające z mających zastosowanie przepisów prawa, w tym z Rozporządzenia BMR lub</w:t>
      </w:r>
    </w:p>
    <w:p w14:paraId="5D0B648A" w14:textId="0FDCDC5C" w:rsidR="00BD549F" w:rsidRPr="00BE23FD" w:rsidRDefault="007C0861" w:rsidP="00BE23FD">
      <w:pPr>
        <w:pStyle w:val="Akapitzlist"/>
        <w:numPr>
          <w:ilvl w:val="0"/>
          <w:numId w:val="20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niedostępność 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>aktualne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j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wartości Wskaźnika referencyjnego w źródle informacji o Wskaźniku referencyjnym wskazanym przez Administratora przez okres dłuższy niż 30 dni</w:t>
      </w:r>
      <w:r w:rsidR="00B610B2" w:rsidRPr="00BE23F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5509A340" w14:textId="588A6400" w:rsidR="004D4CBA" w:rsidRPr="00BE23FD" w:rsidRDefault="00BD549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5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przypadku </w:t>
      </w:r>
      <w:r w:rsidR="004D4CB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ogłoszenia przez Administratora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Istotnej zmiany Wskaźnika referencyjnego</w:t>
      </w:r>
      <w:r w:rsidR="004D4CB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, który jest stosowany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4D4CBA" w:rsidRPr="00BE23FD">
        <w:rPr>
          <w:rFonts w:ascii="Times New Roman" w:hAnsi="Times New Roman" w:cs="Times New Roman"/>
          <w:color w:val="000000"/>
          <w:sz w:val="20"/>
          <w:szCs w:val="20"/>
        </w:rPr>
        <w:t>w Umowie,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Bank </w:t>
      </w:r>
      <w:r w:rsidR="004D4CBA" w:rsidRPr="00BE23FD">
        <w:rPr>
          <w:rFonts w:ascii="Times New Roman" w:hAnsi="Times New Roman" w:cs="Times New Roman"/>
          <w:color w:val="000000"/>
          <w:sz w:val="20"/>
          <w:szCs w:val="20"/>
        </w:rPr>
        <w:t>stosuje od dnia obowiązywania Istotnej zmiany Wskaźnik referencyjny po Istotnej zmianie skorygowany o:</w:t>
      </w:r>
    </w:p>
    <w:p w14:paraId="4FE52FD5" w14:textId="76DC2421" w:rsidR="004D4CBA" w:rsidRPr="00BE23FD" w:rsidRDefault="004D4CBA" w:rsidP="00BE23FD">
      <w:pPr>
        <w:pStyle w:val="Akapitzlist"/>
        <w:numPr>
          <w:ilvl w:val="0"/>
          <w:numId w:val="21"/>
        </w:numPr>
        <w:tabs>
          <w:tab w:val="left" w:pos="-720"/>
          <w:tab w:val="left" w:pos="0"/>
          <w:tab w:val="left" w:pos="426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48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lastRenderedPageBreak/>
        <w:t>Korektę podaną przez Administratora, a jeżeli Administrator nie podał Korekty</w:t>
      </w:r>
    </w:p>
    <w:p w14:paraId="7662F0C2" w14:textId="0683F798" w:rsidR="004D4CBA" w:rsidRPr="00BE23FD" w:rsidRDefault="004D4CBA" w:rsidP="00BE23FD">
      <w:pPr>
        <w:pStyle w:val="Akapitzlist"/>
        <w:numPr>
          <w:ilvl w:val="0"/>
          <w:numId w:val="21"/>
        </w:numPr>
        <w:tabs>
          <w:tab w:val="left" w:pos="-720"/>
          <w:tab w:val="left" w:pos="0"/>
          <w:tab w:val="left" w:pos="426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48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Korektę wyliczoną jako średnia arytmetyczna z różnic pomiędzy </w:t>
      </w:r>
      <w:r w:rsidR="003B3665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wartościami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Wskaźnika referencyjnego przed </w:t>
      </w:r>
      <w:r w:rsidR="00524F2D" w:rsidRPr="00BE23FD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stotną zmianą a </w:t>
      </w:r>
      <w:r w:rsidR="003B3665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wartościami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Wskaźnika referencyjnego po Istotnej </w:t>
      </w:r>
      <w:r w:rsidR="00262DB9" w:rsidRPr="00BE23FD">
        <w:rPr>
          <w:rFonts w:ascii="Times New Roman" w:hAnsi="Times New Roman" w:cs="Times New Roman"/>
          <w:color w:val="000000"/>
          <w:sz w:val="20"/>
          <w:szCs w:val="20"/>
        </w:rPr>
        <w:t>z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mianie z </w:t>
      </w:r>
      <w:r w:rsidR="003B3665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tych samych dni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publikacji, za okres </w:t>
      </w:r>
      <w:r w:rsidR="00524F2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12 miesięcy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przed datą </w:t>
      </w:r>
      <w:r w:rsidR="00524F2D" w:rsidRPr="00BE23FD">
        <w:rPr>
          <w:rFonts w:ascii="Times New Roman" w:hAnsi="Times New Roman" w:cs="Times New Roman"/>
          <w:color w:val="000000"/>
          <w:sz w:val="20"/>
          <w:szCs w:val="20"/>
        </w:rPr>
        <w:t>ogłoszenia I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stotnej zmiany Wskaźnika referencyjnego</w:t>
      </w:r>
      <w:r w:rsidR="00524F2D" w:rsidRPr="00BE23F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3231EAFD" w14:textId="0FA800E7" w:rsidR="00BD549F" w:rsidRPr="00BE23FD" w:rsidRDefault="00BD549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5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 przypadku zaprzesta</w:t>
      </w:r>
      <w:r w:rsidR="00ED510C" w:rsidRPr="00BE23FD">
        <w:rPr>
          <w:rFonts w:ascii="Times New Roman" w:hAnsi="Times New Roman" w:cs="Times New Roman"/>
          <w:color w:val="000000"/>
          <w:sz w:val="20"/>
          <w:szCs w:val="20"/>
        </w:rPr>
        <w:t>nia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opracowywania Wskaźnika referencyjnego wskutek zaistnienia Zdarzenia regulacyjnego:</w:t>
      </w:r>
    </w:p>
    <w:p w14:paraId="4010C5C0" w14:textId="4191571A" w:rsidR="00BD549F" w:rsidRPr="00BE23FD" w:rsidRDefault="00BD549F" w:rsidP="00BE23FD">
      <w:pPr>
        <w:pStyle w:val="Akapitzlist"/>
        <w:numPr>
          <w:ilvl w:val="0"/>
          <w:numId w:val="22"/>
        </w:numPr>
        <w:tabs>
          <w:tab w:val="left" w:pos="-720"/>
          <w:tab w:val="left" w:pos="0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Bank stosuje Wskaźnik alternatywny</w:t>
      </w:r>
      <w:r w:rsidR="0033754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określon</w:t>
      </w:r>
      <w:r w:rsidR="0033754A" w:rsidRPr="00BE23FD">
        <w:rPr>
          <w:rFonts w:ascii="Times New Roman" w:hAnsi="Times New Roman" w:cs="Times New Roman"/>
          <w:color w:val="000000"/>
          <w:sz w:val="20"/>
          <w:szCs w:val="20"/>
        </w:rPr>
        <w:t>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 </w:t>
      </w:r>
      <w:r w:rsidR="007102B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umowie, </w:t>
      </w:r>
      <w:r w:rsidR="00457E8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a w </w:t>
      </w:r>
      <w:r w:rsidR="00F84470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przypadku </w:t>
      </w:r>
      <w:r w:rsidR="00457E8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jego braku, Wskaźnik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alternatywny</w:t>
      </w:r>
      <w:r w:rsidR="00457E8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wskazany w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przepisach prawa powszechnie obowiązującego albo wskazan</w:t>
      </w:r>
      <w:r w:rsidR="0033754A" w:rsidRPr="00BE23FD">
        <w:rPr>
          <w:rFonts w:ascii="Times New Roman" w:hAnsi="Times New Roman" w:cs="Times New Roman"/>
          <w:color w:val="000000"/>
          <w:sz w:val="20"/>
          <w:szCs w:val="20"/>
        </w:rPr>
        <w:t>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przez </w:t>
      </w:r>
      <w:r w:rsidR="0033754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Podmiot wyznaczający, wraz z Korektą ustaloną </w:t>
      </w:r>
      <w:r w:rsidR="007102B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umową, </w:t>
      </w:r>
      <w:r w:rsidR="0033754A" w:rsidRPr="00BE23FD">
        <w:rPr>
          <w:rFonts w:ascii="Times New Roman" w:hAnsi="Times New Roman" w:cs="Times New Roman"/>
          <w:color w:val="000000"/>
          <w:sz w:val="20"/>
          <w:szCs w:val="20"/>
        </w:rPr>
        <w:t>przepisami prawa albo podaną przez Podmiot wyznaczający</w:t>
      </w:r>
      <w:r w:rsidR="00301326" w:rsidRPr="00BE23FD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71D0D23A" w14:textId="2AD66EDC" w:rsidR="00ED457F" w:rsidRPr="00BE23FD" w:rsidRDefault="00DE4C97" w:rsidP="00BE23FD">
      <w:pPr>
        <w:pStyle w:val="Akapitzlist"/>
        <w:numPr>
          <w:ilvl w:val="0"/>
          <w:numId w:val="22"/>
        </w:numPr>
        <w:tabs>
          <w:tab w:val="left" w:pos="-720"/>
          <w:tab w:val="left" w:pos="0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przypadku gdy Wskaźnik alternatywny nie zostanie wyznaczony zgodnie z pkt (i), 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>Bank stosuje</w:t>
      </w:r>
      <w:r w:rsidR="0088798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>Wskaźnik alternatywny</w:t>
      </w:r>
      <w:r w:rsidR="00ED457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, wraz z Korektą podaną przez Administratora Wskaźnika alternatywnego, spełniający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łącznie </w:t>
      </w:r>
      <w:r w:rsidR="00ED457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następujące </w:t>
      </w:r>
      <w:r w:rsidR="007102BA" w:rsidRPr="00BE23FD">
        <w:rPr>
          <w:rFonts w:ascii="Times New Roman" w:hAnsi="Times New Roman" w:cs="Times New Roman"/>
          <w:color w:val="000000"/>
          <w:sz w:val="20"/>
          <w:szCs w:val="20"/>
        </w:rPr>
        <w:t>warunki</w:t>
      </w:r>
      <w:r w:rsidR="00ED457F" w:rsidRPr="00BE23FD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14:paraId="42F6E333" w14:textId="7E60678C" w:rsidR="00ED457F" w:rsidRPr="00BE23FD" w:rsidRDefault="00BD549F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ED457F" w:rsidRPr="00BE23FD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Administrator Wskaźnika alternatywnego posiada odpowiednie zezwolenia właściwego organu nadzoru,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a także jest wskazany przez </w:t>
      </w:r>
      <w:proofErr w:type="spellStart"/>
      <w:r w:rsidRPr="00BE23FD">
        <w:rPr>
          <w:rFonts w:ascii="Times New Roman" w:hAnsi="Times New Roman" w:cs="Times New Roman"/>
          <w:color w:val="000000"/>
          <w:sz w:val="20"/>
          <w:szCs w:val="20"/>
        </w:rPr>
        <w:t>European</w:t>
      </w:r>
      <w:proofErr w:type="spellEnd"/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Securities and </w:t>
      </w:r>
      <w:proofErr w:type="spellStart"/>
      <w:r w:rsidRPr="00BE23FD">
        <w:rPr>
          <w:rFonts w:ascii="Times New Roman" w:hAnsi="Times New Roman" w:cs="Times New Roman"/>
          <w:color w:val="000000"/>
          <w:sz w:val="20"/>
          <w:szCs w:val="20"/>
        </w:rPr>
        <w:t>Markets</w:t>
      </w:r>
      <w:proofErr w:type="spellEnd"/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Authority w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rejestrze administratorów wskaźników referencyjnych,</w:t>
      </w:r>
    </w:p>
    <w:p w14:paraId="5C9DB4F1" w14:textId="77777777" w:rsidR="00496ED3" w:rsidRPr="00BE23FD" w:rsidRDefault="00ED457F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ab/>
        <w:t>Wskaźnik alternatywn</w:t>
      </w:r>
      <w:r w:rsidR="00496ED3" w:rsidRPr="00BE23FD">
        <w:rPr>
          <w:rFonts w:ascii="Times New Roman" w:hAnsi="Times New Roman" w:cs="Times New Roman"/>
          <w:color w:val="000000"/>
          <w:sz w:val="20"/>
          <w:szCs w:val="20"/>
        </w:rPr>
        <w:t>y jest wskaźnikiem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stopy procentowej dla waluty zastępowanego </w:t>
      </w:r>
      <w:r w:rsidR="00496ED3" w:rsidRPr="00BE23FD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>skaźnika referencyjnego,</w:t>
      </w:r>
    </w:p>
    <w:p w14:paraId="14392E49" w14:textId="53715CD8" w:rsidR="006B4D64" w:rsidRPr="00BE23FD" w:rsidRDefault="00496ED3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Wskaźnik alternatywny 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odzwierciedla równoważny rynek lub jego realia gospodarcze, co zastępowany </w:t>
      </w:r>
      <w:r w:rsidR="006B4D64" w:rsidRPr="00BE23FD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="00BD549F" w:rsidRPr="00BE23FD">
        <w:rPr>
          <w:rFonts w:ascii="Times New Roman" w:hAnsi="Times New Roman" w:cs="Times New Roman"/>
          <w:color w:val="000000"/>
          <w:sz w:val="20"/>
          <w:szCs w:val="20"/>
        </w:rPr>
        <w:t>skaźnik referencyjny,</w:t>
      </w:r>
    </w:p>
    <w:p w14:paraId="10F1D008" w14:textId="13678849" w:rsidR="006F25B7" w:rsidRPr="00BE23FD" w:rsidRDefault="006B4D64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5D03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535D0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Wskaźnik alternatywny </w:t>
      </w:r>
      <w:r w:rsidR="00BD549F" w:rsidRPr="00535D03">
        <w:rPr>
          <w:rFonts w:ascii="Times New Roman" w:hAnsi="Times New Roman" w:cs="Times New Roman"/>
          <w:color w:val="000000"/>
          <w:sz w:val="20"/>
          <w:szCs w:val="20"/>
        </w:rPr>
        <w:t>cechuje powszechność stosowania</w:t>
      </w:r>
      <w:r w:rsidRPr="00535D03">
        <w:rPr>
          <w:rFonts w:ascii="Times New Roman" w:hAnsi="Times New Roman" w:cs="Times New Roman"/>
          <w:color w:val="000000"/>
          <w:sz w:val="20"/>
          <w:szCs w:val="20"/>
        </w:rPr>
        <w:t xml:space="preserve"> w Polsce</w:t>
      </w:r>
      <w:r w:rsidR="006F25B7" w:rsidRPr="00535D03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4DA416B0" w14:textId="4BBD91A2" w:rsidR="005A4B21" w:rsidRPr="00BE23FD" w:rsidRDefault="005A4B21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przypadku, gdy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="00BC5912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mowa,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przepisy prawa, Podmiot wyznaczający lub Administrator Wskaźnika Alternatywnego nie poda Korekty Wskaźnika alternatywnego, Bank skoryguje Wskaźnik alternatywny Korektą wyliczoną jako średnia arytmetyczna z różnic pomiędzy wartościami </w:t>
      </w:r>
      <w:r w:rsidR="00160DB4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dotychczasowego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Wskaźnika referencyjnego, a wartością </w:t>
      </w:r>
      <w:r w:rsidR="00160DB4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Wskaźnika alternatywnego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z tych samych dni publikacji, za okres </w:t>
      </w:r>
      <w:r w:rsidR="00160DB4" w:rsidRPr="00BE23FD">
        <w:rPr>
          <w:rFonts w:ascii="Times New Roman" w:hAnsi="Times New Roman" w:cs="Times New Roman"/>
          <w:color w:val="000000"/>
          <w:sz w:val="20"/>
          <w:szCs w:val="20"/>
        </w:rPr>
        <w:t>182 dni przed datą zaprzestania opracowywania Wskaźnika referencyjnego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1758A09C" w14:textId="3C6F0118" w:rsidR="00E053D2" w:rsidRPr="00BE23FD" w:rsidRDefault="00160DB4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sytuacji braku możliwości wyznaczenia Wskaźnika alternatywnego na podstawie postanowień poprzedzających, </w:t>
      </w:r>
      <w:r w:rsidR="003404BB" w:rsidRPr="00BE23FD">
        <w:rPr>
          <w:rFonts w:ascii="Times New Roman" w:hAnsi="Times New Roman" w:cs="Times New Roman"/>
          <w:color w:val="000000"/>
          <w:sz w:val="20"/>
          <w:szCs w:val="20"/>
        </w:rPr>
        <w:t>Bank stosuje do ustalania oprocentowania</w:t>
      </w:r>
      <w:r w:rsidR="006F25B7" w:rsidRPr="00BE23FD">
        <w:rPr>
          <w:rFonts w:ascii="Times New Roman" w:hAnsi="Times New Roman" w:cs="Times New Roman"/>
          <w:color w:val="000000"/>
          <w:sz w:val="20"/>
          <w:szCs w:val="20"/>
        </w:rPr>
        <w:t>, jako Wskaźnik alternatywny,</w:t>
      </w:r>
      <w:r w:rsidR="003404BB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podstawową stopę procentową banku centralnego właściwego dla waluty kredytu wraz z Korektą </w:t>
      </w:r>
      <w:r w:rsidR="001D5D48" w:rsidRPr="00BE23FD">
        <w:rPr>
          <w:rFonts w:ascii="Times New Roman" w:hAnsi="Times New Roman" w:cs="Times New Roman"/>
          <w:color w:val="000000"/>
          <w:sz w:val="20"/>
          <w:szCs w:val="20"/>
        </w:rPr>
        <w:t>wyliczoną jako średnia arytmetyczna z różnic pomiędzy wartościami Wskaźnika referencyjnego, a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D5D48" w:rsidRPr="00BE23FD">
        <w:rPr>
          <w:rFonts w:ascii="Times New Roman" w:hAnsi="Times New Roman" w:cs="Times New Roman"/>
          <w:color w:val="000000"/>
          <w:sz w:val="20"/>
          <w:szCs w:val="20"/>
        </w:rPr>
        <w:t>wartością stopy procentowej banku centralnego z tych samych dni publikacji, za okres 12 miesięcy przed datą zaprzestania opracowywania Wskaźnika referencyjnego.</w:t>
      </w:r>
    </w:p>
    <w:p w14:paraId="6089271E" w14:textId="4CA8EFBA" w:rsidR="000B1E1F" w:rsidRPr="00BE23FD" w:rsidRDefault="000B1E1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 przypadku, gdy na podstawie postanowień poprzedzających</w:t>
      </w:r>
      <w:r w:rsidR="002E5775" w:rsidRPr="00BE23FD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Bank wylicza Korektę, </w:t>
      </w:r>
      <w:r w:rsidR="002E5775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a dane niezbędne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2E5775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do wyliczenia Korekty nie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są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E5775" w:rsidRPr="00BE23FD">
        <w:rPr>
          <w:rFonts w:ascii="Times New Roman" w:hAnsi="Times New Roman" w:cs="Times New Roman"/>
          <w:color w:val="000000"/>
          <w:sz w:val="20"/>
          <w:szCs w:val="20"/>
        </w:rPr>
        <w:t>dostępne za cały okres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A24B3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za który ma zostać wyliczona Korekta,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Bank wylicza Korektę </w:t>
      </w:r>
      <w:r w:rsidR="001A24B3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uwzględniając </w:t>
      </w:r>
      <w:r w:rsidR="008C0AF9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cały </w:t>
      </w:r>
      <w:r w:rsidR="001A24B3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okres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dostępności danych.</w:t>
      </w:r>
    </w:p>
    <w:p w14:paraId="159CA875" w14:textId="0FBE3459" w:rsidR="00A0780D" w:rsidRPr="00BE23FD" w:rsidRDefault="007F4494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Wskaźnik alternatywny określony w związku z wystąpieniem Zdarzenia regulacyjnego zostanie zastosowany przez Bank nie później niż 30 dnia roboczego liczonego od dnia zaprzestania opracowania dotychczasowego Wskaźnika referencyjnego</w:t>
      </w:r>
      <w:r w:rsidR="00DD43A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, a do tego czasu </w:t>
      </w:r>
      <w:r w:rsidR="009E5E71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Bank </w:t>
      </w:r>
      <w:r w:rsidR="00DD43A6" w:rsidRPr="00BE23FD">
        <w:rPr>
          <w:rFonts w:ascii="Times New Roman" w:hAnsi="Times New Roman" w:cs="Times New Roman"/>
          <w:color w:val="000000"/>
          <w:sz w:val="20"/>
          <w:szCs w:val="20"/>
        </w:rPr>
        <w:t>będzie stosowa</w:t>
      </w:r>
      <w:r w:rsidR="00293BAA" w:rsidRPr="00BE23FD">
        <w:rPr>
          <w:rFonts w:ascii="Times New Roman" w:hAnsi="Times New Roman" w:cs="Times New Roman"/>
          <w:color w:val="000000"/>
          <w:sz w:val="20"/>
          <w:szCs w:val="20"/>
        </w:rPr>
        <w:t>ł</w:t>
      </w:r>
      <w:r w:rsidR="00DD43A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ostatnio </w:t>
      </w:r>
      <w:r w:rsidR="003E6CF8" w:rsidRPr="00BE23FD">
        <w:rPr>
          <w:rFonts w:ascii="Times New Roman" w:hAnsi="Times New Roman" w:cs="Times New Roman"/>
          <w:color w:val="000000"/>
          <w:sz w:val="20"/>
          <w:szCs w:val="20"/>
        </w:rPr>
        <w:t>o</w:t>
      </w:r>
      <w:r w:rsidR="00DD43A6" w:rsidRPr="00BE23FD">
        <w:rPr>
          <w:rFonts w:ascii="Times New Roman" w:hAnsi="Times New Roman" w:cs="Times New Roman"/>
          <w:color w:val="000000"/>
          <w:sz w:val="20"/>
          <w:szCs w:val="20"/>
        </w:rPr>
        <w:t>publikowan</w:t>
      </w:r>
      <w:r w:rsidR="00293BAA" w:rsidRPr="00BE23FD">
        <w:rPr>
          <w:rFonts w:ascii="Times New Roman" w:hAnsi="Times New Roman" w:cs="Times New Roman"/>
          <w:color w:val="000000"/>
          <w:sz w:val="20"/>
          <w:szCs w:val="20"/>
        </w:rPr>
        <w:t>ą</w:t>
      </w:r>
      <w:r w:rsidR="00DD43A6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wartość </w:t>
      </w:r>
      <w:r w:rsidR="00293BA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dotychczasowego </w:t>
      </w:r>
      <w:r w:rsidR="00DD43A6" w:rsidRPr="00BE23FD">
        <w:rPr>
          <w:rFonts w:ascii="Times New Roman" w:hAnsi="Times New Roman" w:cs="Times New Roman"/>
          <w:color w:val="000000"/>
          <w:sz w:val="20"/>
          <w:szCs w:val="20"/>
        </w:rPr>
        <w:t>Wskaźnika referencyjnego.</w:t>
      </w:r>
      <w:r w:rsidR="00A0780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 przypadku wznowienia publikacji dotychczasowego Wskaźnika referencyjnego przed dniem zastosowania przez Bank Wskaźnika alternatywnego</w:t>
      </w:r>
      <w:r w:rsidR="0014630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, Bank będzie ustalał oprocentowanie zgodnie z </w:t>
      </w:r>
      <w:r w:rsidR="00293BAA" w:rsidRPr="00BE23FD">
        <w:rPr>
          <w:rFonts w:ascii="Times New Roman" w:hAnsi="Times New Roman" w:cs="Times New Roman"/>
          <w:color w:val="000000"/>
          <w:sz w:val="20"/>
          <w:szCs w:val="20"/>
        </w:rPr>
        <w:t>dotychczasowym W</w:t>
      </w:r>
      <w:r w:rsidR="0014630D" w:rsidRPr="00BE23FD">
        <w:rPr>
          <w:rFonts w:ascii="Times New Roman" w:hAnsi="Times New Roman" w:cs="Times New Roman"/>
          <w:color w:val="000000"/>
          <w:sz w:val="20"/>
          <w:szCs w:val="20"/>
        </w:rPr>
        <w:t>skaźnikiem</w:t>
      </w:r>
      <w:r w:rsidR="00293BAA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referencyjnym</w:t>
      </w:r>
      <w:r w:rsidR="00A0780D" w:rsidRPr="00BE23F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6A57D872" w14:textId="6CF0EEEF" w:rsidR="00E17678" w:rsidRPr="00BE23FD" w:rsidRDefault="00BD549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Bank niezwłocznie przekazuje Kredytobiorcy informację o Istotnej zmianie </w:t>
      </w:r>
      <w:r w:rsidR="00E17678" w:rsidRPr="00BE23FD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skaźnika referencyjnego lub zastosowaniu Wskaźnika alternatywnego</w:t>
      </w:r>
      <w:r w:rsidR="00E17678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wraz z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uzasadnienie</w:t>
      </w:r>
      <w:r w:rsidR="00E17678" w:rsidRPr="00BE23FD"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wyboru danego Wskaźnika alternatywnego oraz </w:t>
      </w:r>
      <w:r w:rsidR="00FC1FAC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opisem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spos</w:t>
      </w:r>
      <w:r w:rsidR="00C64E0D" w:rsidRPr="00BE23FD">
        <w:rPr>
          <w:rFonts w:ascii="Times New Roman" w:hAnsi="Times New Roman" w:cs="Times New Roman"/>
          <w:color w:val="000000"/>
          <w:sz w:val="20"/>
          <w:szCs w:val="20"/>
        </w:rPr>
        <w:t>o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b</w:t>
      </w:r>
      <w:r w:rsidR="00FC1FAC" w:rsidRPr="00BE23FD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obliczenia Korekty.</w:t>
      </w:r>
    </w:p>
    <w:p w14:paraId="0EE95FD6" w14:textId="399EC101" w:rsidR="00D87A28" w:rsidRPr="00BE23FD" w:rsidRDefault="00BD549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</w:t>
      </w:r>
      <w:r w:rsidR="00E17678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przypadku zmiany Wskaźnika referencyjnego w związku z wystąpieniem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Zdarzenia regulacyjnego, Kredytobiorc</w:t>
      </w:r>
      <w:r w:rsidR="00A34095" w:rsidRPr="00BE23FD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17678" w:rsidRPr="00BE23FD">
        <w:rPr>
          <w:rFonts w:ascii="Times New Roman" w:hAnsi="Times New Roman" w:cs="Times New Roman"/>
          <w:color w:val="000000"/>
          <w:sz w:val="20"/>
          <w:szCs w:val="20"/>
        </w:rPr>
        <w:t>jest uprawniony</w:t>
      </w:r>
      <w:r w:rsidR="00B31A7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, w ciągu 14 dni od dnia otrzymania od Banku informacji o zastosowaniu Wskaźnika alternatywnego, do rozwiązania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="00A34095" w:rsidRPr="00BE23FD">
        <w:rPr>
          <w:rFonts w:ascii="Times New Roman" w:hAnsi="Times New Roman" w:cs="Times New Roman"/>
          <w:color w:val="000000"/>
          <w:sz w:val="20"/>
          <w:szCs w:val="20"/>
        </w:rPr>
        <w:t>mowy z zachowaniem 30-dniowego okresu wypowiedzeni</w:t>
      </w:r>
      <w:r w:rsidR="00B31A7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a. </w:t>
      </w:r>
      <w:r w:rsidR="00E97E55" w:rsidRPr="00BE23FD">
        <w:rPr>
          <w:rFonts w:ascii="Times New Roman" w:hAnsi="Times New Roman" w:cs="Times New Roman"/>
          <w:color w:val="000000"/>
          <w:sz w:val="20"/>
          <w:szCs w:val="20"/>
        </w:rPr>
        <w:t>W takim wypadk</w:t>
      </w:r>
      <w:r w:rsidR="003E6CF8" w:rsidRPr="00BE23FD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="00E97E55" w:rsidRPr="00BE23FD">
        <w:rPr>
          <w:rFonts w:ascii="Times New Roman" w:hAnsi="Times New Roman" w:cs="Times New Roman"/>
          <w:color w:val="000000"/>
          <w:sz w:val="20"/>
          <w:szCs w:val="20"/>
        </w:rPr>
        <w:t>, Klient nie ponosi opłaty związanej z wcześniejszą spłatą zadłużenia.</w:t>
      </w:r>
    </w:p>
    <w:p w14:paraId="255AC4FA" w14:textId="6D4EA5A2" w:rsidR="00D87A28" w:rsidRPr="00BE23FD" w:rsidRDefault="00BD549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Powyższe postanowienia dotyczące Istotnej zmiany Wskaźnika referencyjnego oraz zaprzestania publikacji Wskaźnika referencyjnego mają zastosowanie do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każdego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kolejn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ego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przypadk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87A28" w:rsidRPr="00BE23FD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stotnej zmiany Wskaźnika alternatywnego oraz zaprzestania publikacji Wskaźnika alternatywnego.</w:t>
      </w:r>
    </w:p>
    <w:p w14:paraId="69A4052B" w14:textId="0EEB01AB" w:rsidR="00B133CC" w:rsidRPr="00BE23FD" w:rsidRDefault="00BD549F" w:rsidP="00BE23FD">
      <w:pPr>
        <w:pStyle w:val="Akapitzlist"/>
        <w:numPr>
          <w:ilvl w:val="0"/>
          <w:numId w:val="18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Istotna zmiana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skaźnika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 referencyjnego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bądź zmiana Wskaźnika referencyjnego na Wskaźnik alternatywny </w:t>
      </w:r>
      <w:r w:rsidR="00D87A28" w:rsidRPr="00BE23FD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="00BE23F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87A28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związku z wystąpieniem Zdarzenia regulacyjnego,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nie stanowią zmiany 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mowy i nie wymagają zawarcia aneksu</w:t>
      </w:r>
      <w:r w:rsidR="002044FC">
        <w:rPr>
          <w:rFonts w:ascii="Times New Roman" w:hAnsi="Times New Roman" w:cs="Times New Roman"/>
          <w:color w:val="000000"/>
          <w:sz w:val="20"/>
          <w:szCs w:val="20"/>
        </w:rPr>
        <w:t xml:space="preserve"> do umowy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60BB29BE" w14:textId="41BA4D15" w:rsidR="009B6E2A" w:rsidRPr="00BE23FD" w:rsidRDefault="009B6E2A" w:rsidP="009B6E2A">
      <w:p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32BF58C" w14:textId="6877CA4F" w:rsidR="009B6E2A" w:rsidRPr="00BE23FD" w:rsidRDefault="009B6E2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563F2B5F" w14:textId="31B937A4" w:rsidR="00BE26BC" w:rsidRPr="008D2F2D" w:rsidRDefault="00BE26BC" w:rsidP="00BE26BC">
      <w:pPr>
        <w:pStyle w:val="Akapitzlist"/>
        <w:numPr>
          <w:ilvl w:val="0"/>
          <w:numId w:val="37"/>
        </w:numPr>
        <w:tabs>
          <w:tab w:val="left" w:pos="-720"/>
          <w:tab w:val="left" w:pos="0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ind w:left="426" w:hanging="426"/>
        <w:jc w:val="both"/>
        <w:rPr>
          <w:rFonts w:ascii="Times New Roman" w:hAnsi="Times New Roman" w:cs="Times New Roman"/>
          <w:b/>
          <w:i/>
          <w:color w:val="000000"/>
        </w:rPr>
      </w:pPr>
      <w:r w:rsidRPr="008D2F2D">
        <w:rPr>
          <w:rFonts w:ascii="Times New Roman" w:hAnsi="Times New Roman" w:cs="Times New Roman"/>
          <w:b/>
          <w:i/>
          <w:color w:val="000000"/>
        </w:rPr>
        <w:lastRenderedPageBreak/>
        <w:t>Klauzula awaryjna na wypadek Istotnej zmiany Wskaźnika referencyjnego albo zaprzestania opracowywania Wskaźnika referencyjnego, zgodnie z którym ustalane jest oprocentowanie kredytu (Klienci niebędący konsumentami)</w:t>
      </w:r>
    </w:p>
    <w:p w14:paraId="0984EAC0" w14:textId="77777777" w:rsidR="009B6E2A" w:rsidRPr="00BE23FD" w:rsidRDefault="009B6E2A" w:rsidP="009B6E2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E83C97A" w14:textId="77777777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hanging="720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Na potrzeby niniejszej klauzuli poniższe pojęcia otrzymują następujące znaczenie:</w:t>
      </w:r>
    </w:p>
    <w:p w14:paraId="20D53DCA" w14:textId="4D515BB0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Administrator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FB44C1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osoba fizyczna lub prawna, niezależna od Banku, sprawująca kontrolę nad opracowywaniem Wskaźnika referencyjnego oraz, w</w:t>
      </w:r>
      <w:r w:rsidR="00BE23FD"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szczególności, zarządzająca mechanizmami dotyczącymi wyznaczania Wskaźnika referencyjnego, gromadząca i analizująca dane wejściowe, wyznaczająca wskaźnik referencyjny i publikująca go;</w:t>
      </w:r>
    </w:p>
    <w:p w14:paraId="2FB03A96" w14:textId="3BA72890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Istotna zmiana </w:t>
      </w:r>
      <w:r w:rsidR="00FB44C1">
        <w:rPr>
          <w:rFonts w:ascii="Times New Roman" w:hAnsi="Times New Roman" w:cs="Times New Roman"/>
          <w:b/>
          <w:bCs/>
          <w:color w:val="000000"/>
          <w:sz w:val="20"/>
          <w:szCs w:val="20"/>
        </w:rPr>
        <w:t>–</w:t>
      </w: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zmiana sposobu wyznaczania Wskaźnika referencyjnego, którą Administrator uznał i zdefiniował jako istotną, zgodnie z art. 13 Rozporządzenia BMR lub zgodnie z definicją i informacjami publikowanymi </w:t>
      </w:r>
      <w:r w:rsidR="00FB44C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przez Administratora w dokumentacji Wskaźnika referencyjnego,</w:t>
      </w:r>
    </w:p>
    <w:p w14:paraId="16C45BEB" w14:textId="797BD324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Korekta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</w:t>
      </w:r>
      <w:r w:rsidR="00FB44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formuła obliczenia wartości oprocentowania z zastosowaniem Wskaźnika alternatywnego niezbędna </w:t>
      </w:r>
      <w:r w:rsidR="00FB44C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w celu skompensowania ekonomicznych skutków Istotnej zmiany Wskaźnika referencyjnego albo Zdarzenia regulacyjnego związanego z zastąpieniem dotychczasowego Wskaźnika referencyjnego przez Wskaźnik alternatywny,</w:t>
      </w:r>
    </w:p>
    <w:p w14:paraId="06070E88" w14:textId="06372553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Podmiot wyznaczający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– Komisja Europejska, organ nadzoru nad Administratorem, uprawniony organ administracji publicznej lub inny podmiot uprawniony zgodnie z obowiązującymi przepisami do wyznaczenia Wskaźnika alternatywnego oraz Korekty,</w:t>
      </w:r>
    </w:p>
    <w:p w14:paraId="57C527CF" w14:textId="5F806865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Rozporządzenie BMR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 Rozporządzenie Parlamentu Europejskiego i Rady (UE) 2016/1011 z dnia 8 czerwca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2016 r. w sprawie indeksów stosowanych jako wskaźniki referencyjne w instrumentach finansowych i umowach finansowych lub do pomiaru wyników funduszy inwestycyjnych i zmieniające dyrektywy 2008/48/WE i 2014/17/UE oraz rozporządzenie (UE) nr 596/2014 z późniejszymi zmianami,</w:t>
      </w:r>
    </w:p>
    <w:p w14:paraId="11869A8F" w14:textId="77777777" w:rsidR="00FB0B24" w:rsidRPr="00BE23FD" w:rsidRDefault="00FB0B24" w:rsidP="00FB0B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Wskaźnik alternatywny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w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skaźnik referencyjny zastępujący dotychczasowy Wskaźnik referencyjny, dla którego wystąpiło Zdarzenie regulacyjne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FB0B24">
        <w:t xml:space="preserve"> </w:t>
      </w:r>
      <w:r w:rsidRPr="00FB0B24">
        <w:rPr>
          <w:rFonts w:ascii="Times New Roman" w:hAnsi="Times New Roman" w:cs="Times New Roman"/>
          <w:color w:val="000000"/>
          <w:sz w:val="20"/>
          <w:szCs w:val="20"/>
        </w:rPr>
        <w:t>w szczególności, zamiennik wskaźnika referencyjnego wyznaczony przez Podmiot wyznaczający na podstawie Rozdziału 4A Rozporządzenia BMR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0FA31CCE" w14:textId="77777777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Wskaźnik referencyjny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– wskaźnik referencyjny w rozumieniu Rozporządzenia BMR będący indeksem stanowiącym odniesienie do określenia kwoty przypadającej do zapłaty z tytułu kredytu,</w:t>
      </w:r>
    </w:p>
    <w:p w14:paraId="7F94C9B2" w14:textId="7D13BE27" w:rsidR="00CC5055" w:rsidRPr="00BE23FD" w:rsidRDefault="00CC5055" w:rsidP="00BE23F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Zdarzenie regulacyjne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– wystąpienie jednego lub kilku z następujących zdarzeń (niezależnych od Banku)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w stosunku do Wskaźnika referencyjnego:</w:t>
      </w:r>
    </w:p>
    <w:p w14:paraId="0A0AC115" w14:textId="77777777" w:rsidR="00CC5055" w:rsidRPr="00BE23FD" w:rsidRDefault="00CC5055" w:rsidP="00BE23FD">
      <w:pPr>
        <w:pStyle w:val="Akapitzlist"/>
        <w:numPr>
          <w:ilvl w:val="0"/>
          <w:numId w:val="34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wydanie przez Administratora oświadczenia o trwałym zaprzestaniu opracowywania lub publikowania Wskaźnika referencyjnego, o ile nie został wyznaczony następca tego Administratora, który będzie opracowywał i publikował ten Wskaźnik referencyjny lub</w:t>
      </w:r>
    </w:p>
    <w:p w14:paraId="599DE937" w14:textId="77777777" w:rsidR="00CC5055" w:rsidRPr="00BE23FD" w:rsidRDefault="00CC5055" w:rsidP="00BE23FD">
      <w:pPr>
        <w:pStyle w:val="Akapitzlist"/>
        <w:numPr>
          <w:ilvl w:val="0"/>
          <w:numId w:val="34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stwierdzenie przez właściwy organ nadzoru, że Administrator lub Wskaźnik referencyjny przez niego opracowywany nie spełnia lub przestał spełniać wymogi wynikające z mających zastosowanie przepisów prawa, w tym z Rozporządzenia BMR lub</w:t>
      </w:r>
    </w:p>
    <w:p w14:paraId="1A08D1BA" w14:textId="77777777" w:rsidR="00CC5055" w:rsidRPr="00BE23FD" w:rsidRDefault="00CC5055" w:rsidP="00BE23FD">
      <w:pPr>
        <w:pStyle w:val="Akapitzlist"/>
        <w:numPr>
          <w:ilvl w:val="0"/>
          <w:numId w:val="34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niedostępność aktualnej wartości Wskaźnika referencyjnego w źródle informacji o Wskaźniku referencyjnym wskazanym przez Administratora przez okres dłuższy niż 30 dni.</w:t>
      </w:r>
    </w:p>
    <w:p w14:paraId="5F6291E1" w14:textId="47A6B8CC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przypadku ogłoszenia przez Administratora Istotnej zmiany Wskaźnika referencyjnego, który jest stosowany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w Umowie, Bank stosuje od dnia obowiązywania Istotnej zmiany Wskaźnik referencyjny po Istotnej zmianie skorygowany o:</w:t>
      </w:r>
    </w:p>
    <w:p w14:paraId="63833F40" w14:textId="77777777" w:rsidR="00CC5055" w:rsidRPr="00BE23FD" w:rsidRDefault="00CC5055" w:rsidP="00BE23FD">
      <w:pPr>
        <w:pStyle w:val="Akapitzlist"/>
        <w:numPr>
          <w:ilvl w:val="0"/>
          <w:numId w:val="35"/>
        </w:numPr>
        <w:tabs>
          <w:tab w:val="left" w:pos="-720"/>
          <w:tab w:val="left" w:pos="0"/>
          <w:tab w:val="left" w:pos="426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Korektę podaną przez Administratora, a jeżeli Administrator nie podał Korekty</w:t>
      </w:r>
    </w:p>
    <w:p w14:paraId="3D1E6446" w14:textId="68ABAD99" w:rsidR="00CC5055" w:rsidRPr="00BE23FD" w:rsidRDefault="00CC5055" w:rsidP="00BE23FD">
      <w:pPr>
        <w:pStyle w:val="Akapitzlist"/>
        <w:numPr>
          <w:ilvl w:val="0"/>
          <w:numId w:val="35"/>
        </w:numPr>
        <w:tabs>
          <w:tab w:val="left" w:pos="-720"/>
          <w:tab w:val="left" w:pos="0"/>
          <w:tab w:val="left" w:pos="426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Korektę wyliczoną jako średnia arytmetyczna z różnic pomiędzy wartościami Wskaźnika referencyjnego przed Istotną zmianą a wartościami Wskaźnika referencyjnego po Istotnej zmianie z tych samych dni publikacji, za okres 12 miesięcy przed datą ogłoszenia Istotnej zmiany Wskaźnika referencyjnego.</w:t>
      </w:r>
    </w:p>
    <w:p w14:paraId="51F9AC18" w14:textId="052C9D6D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 przypadku zaprzestania opracowywania Wskaźnika referencyjnego wskutek zaistnienia Zdarzenia regulacyjnego:</w:t>
      </w:r>
    </w:p>
    <w:p w14:paraId="724BE650" w14:textId="751C968C" w:rsidR="00CC5055" w:rsidRPr="00BE23FD" w:rsidRDefault="00CC5055" w:rsidP="00BE23FD">
      <w:pPr>
        <w:pStyle w:val="Akapitzlist"/>
        <w:numPr>
          <w:ilvl w:val="0"/>
          <w:numId w:val="36"/>
        </w:numPr>
        <w:tabs>
          <w:tab w:val="left" w:pos="-720"/>
          <w:tab w:val="left" w:pos="0"/>
          <w:tab w:val="left" w:pos="1134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Bank stosuje Wskaźnik alternatywny określony w umowie, a w przypadku jego braku, Wskaźnik </w:t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>alternatywny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wskazany w przepisach prawa powszechnie obowiązującego albo wskazany przez Podmiot wyznaczający, wraz z Korektą ustaloną umową, przepisami prawa albo podaną przez Podmiot wyznaczający,</w:t>
      </w:r>
    </w:p>
    <w:p w14:paraId="64CF83D8" w14:textId="4E0504EB" w:rsidR="00CC5055" w:rsidRPr="00BE23FD" w:rsidRDefault="00CC5055" w:rsidP="00BE23FD">
      <w:pPr>
        <w:pStyle w:val="Akapitzlist"/>
        <w:numPr>
          <w:ilvl w:val="0"/>
          <w:numId w:val="36"/>
        </w:numPr>
        <w:tabs>
          <w:tab w:val="left" w:pos="-720"/>
          <w:tab w:val="left" w:pos="0"/>
          <w:tab w:val="left" w:pos="1134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851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w przypadku gdy Wskaźnik alternatywny nie zostanie wyznaczony zgodnie z pkt (i), Bank stosuje Wskaźnik alternatywny, wraz z Korektą podaną przez Administratora Wskaźnika alternatywnego, spełniający </w:t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 xml:space="preserve">łącznie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następujące warunki:</w:t>
      </w:r>
    </w:p>
    <w:p w14:paraId="0801EE2F" w14:textId="6A8C55D3" w:rsidR="00CC5055" w:rsidRPr="00BE23FD" w:rsidRDefault="00CC5055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Administrator Wskaźnika alternatywnego posiada odpowiednie zezwolenia właściwego organu nadzoru, </w:t>
      </w:r>
      <w:r w:rsidR="00BE2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a także jest wskazany przez </w:t>
      </w:r>
      <w:proofErr w:type="spellStart"/>
      <w:r w:rsidRPr="00BE23FD">
        <w:rPr>
          <w:rFonts w:ascii="Times New Roman" w:hAnsi="Times New Roman" w:cs="Times New Roman"/>
          <w:color w:val="000000"/>
          <w:sz w:val="20"/>
          <w:szCs w:val="20"/>
        </w:rPr>
        <w:t>European</w:t>
      </w:r>
      <w:proofErr w:type="spellEnd"/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Securities and </w:t>
      </w:r>
      <w:proofErr w:type="spellStart"/>
      <w:r w:rsidRPr="00BE23FD">
        <w:rPr>
          <w:rFonts w:ascii="Times New Roman" w:hAnsi="Times New Roman" w:cs="Times New Roman"/>
          <w:color w:val="000000"/>
          <w:sz w:val="20"/>
          <w:szCs w:val="20"/>
        </w:rPr>
        <w:t>Markets</w:t>
      </w:r>
      <w:proofErr w:type="spellEnd"/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Authority w rejestrze administratorów wskaźników referencyjnych,</w:t>
      </w:r>
    </w:p>
    <w:p w14:paraId="4D1B2617" w14:textId="77777777" w:rsidR="00CC5055" w:rsidRPr="00BE23FD" w:rsidRDefault="00CC5055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ab/>
        <w:t>Wskaźnik alternatywny jest wskaźnikiem stopy procentowej dla waluty zastępowanego Wskaźnika referencyjnego,</w:t>
      </w:r>
    </w:p>
    <w:p w14:paraId="25910FDB" w14:textId="24C57CB6" w:rsidR="00CC5055" w:rsidRPr="006E21E2" w:rsidRDefault="00CC5055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Wskaźnik alternatywny odzwierciedla równoważny rynek lub jego realia gospodarcze, co zastępowany </w:t>
      </w:r>
      <w:r w:rsidRPr="006E21E2">
        <w:rPr>
          <w:rFonts w:ascii="Times New Roman" w:hAnsi="Times New Roman" w:cs="Times New Roman"/>
          <w:color w:val="000000"/>
          <w:sz w:val="20"/>
          <w:szCs w:val="20"/>
        </w:rPr>
        <w:t>Wskaźnik referencyjny,</w:t>
      </w:r>
    </w:p>
    <w:p w14:paraId="491A13AF" w14:textId="77777777" w:rsidR="00CC5055" w:rsidRPr="00BE23FD" w:rsidRDefault="00CC5055" w:rsidP="00BE23FD">
      <w:pPr>
        <w:pStyle w:val="Akapitzlist"/>
        <w:tabs>
          <w:tab w:val="left" w:pos="-720"/>
          <w:tab w:val="left" w:pos="0"/>
          <w:tab w:val="left" w:pos="127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1276" w:hanging="425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E21E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6E21E2">
        <w:rPr>
          <w:rFonts w:ascii="Times New Roman" w:hAnsi="Times New Roman" w:cs="Times New Roman"/>
          <w:color w:val="000000"/>
          <w:sz w:val="20"/>
          <w:szCs w:val="20"/>
        </w:rPr>
        <w:tab/>
        <w:t>Wskaźnik alternatywny cechuje powszechność stosowania w Polsce.</w:t>
      </w:r>
    </w:p>
    <w:p w14:paraId="0871F339" w14:textId="1114AD5C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przypadku, gdy </w:t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mowa, przepisy prawa, Podmiot wyznaczający lub Administrator Wskaźnika Alternatywnego nie poda Korekty Wskaźnika alternatywnego, Bank skoryguje Wskaźnik alternatywny Korektą wyliczoną jako średnia arytmetyczna z różnic pomiędzy wartościami dotychczasowego Wskaźnika referencyjnego, a wartością Wskaźnika alternatywnego z tych samych dni publikacji, za okres 182 dni przed datą zaprzestania opracowywania Wskaźnika referencyjnego.</w:t>
      </w:r>
    </w:p>
    <w:p w14:paraId="168C9299" w14:textId="77777777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 sytuacji braku możliwości wyznaczenia Wskaźnika alternatywnego na podstawie postanowień poprzedzających, Bank stosuje do ustalania oprocentowania, jako Wskaźnik alternatywny, podstawową stopę procentową banku centralnego właściwego dla waluty kredytu wraz z Korektą wyliczoną jako średnia arytmetyczna z różnic pomiędzy wartościami Wskaźnika referencyjnego, a wartością stopy procentowej banku centralnego z tych samych dni publikacji, za okres 12 miesięcy przed datą zaprzestania opracowywania Wskaźnika referencyjnego.</w:t>
      </w:r>
    </w:p>
    <w:p w14:paraId="29E0B699" w14:textId="4BE312A4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W przypadku, gdy na podstawie postanowień poprzedzających, Bank wylicza Korektę, a dane niezbędne </w:t>
      </w:r>
      <w:r w:rsidR="008D2F2D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 xml:space="preserve">do wyliczenia Korekty nie są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dostępne za cały okres, za który ma zostać wyliczona Korekta, Bank wylicza Korektę uwzględniając cały okres dostępności danych.</w:t>
      </w:r>
    </w:p>
    <w:p w14:paraId="2CC9DC35" w14:textId="1D2FB46E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Wskaźnik alternatywny określony w związku z wystąpieniem Zdarzenia regulacyjnego zostanie zastosowany przez Bank nie później niż 30 dnia roboczego liczonego od dnia zaprzestania opracowania dotychczasowego Wskaźnika referencyjnego, a do tego czasu Bank będzie stosował ostatnio opublikowaną wartość dotychczasowego Wskaźnika referencyjnego. W przypadku wznowienia publikacji dotychczasowego Wskaźnika referencyjnego przed dniem zastosowania przez Bank Wskaźnika alternatywnego, Bank będzie ustalał oprocentowanie zgodnie z dotychczasowym Wskaźnikiem referencyjnym.</w:t>
      </w:r>
    </w:p>
    <w:p w14:paraId="5711A1D0" w14:textId="77777777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>Bank niezwłocznie przekazuje Kredytobiorcy informację o Istotnej zmianie Wskaźnika referencyjnego lub zastosowaniu Wskaźnika alternatywnego wraz z uzasadnieniem wyboru danego Wskaźnika alternatywnego oraz opisem sposobu obliczenia Korekty.</w:t>
      </w:r>
    </w:p>
    <w:p w14:paraId="03B48DC6" w14:textId="7640C9B2" w:rsidR="00CC5055" w:rsidRPr="00BE23FD" w:rsidRDefault="00CC5055" w:rsidP="00BE23FD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Powyższe postanowienia dotyczące Istotnej zmiany Wskaźnika referencyjnego oraz zaprzestania publikacji Wskaźnika referencyjnego mają zastosowanie do </w:t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 xml:space="preserve">każdego 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>kolejn</w:t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>ego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przypadk</w:t>
      </w:r>
      <w:r w:rsidR="00D16B1F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Pr="00BE23FD">
        <w:rPr>
          <w:rFonts w:ascii="Times New Roman" w:hAnsi="Times New Roman" w:cs="Times New Roman"/>
          <w:color w:val="000000"/>
          <w:sz w:val="20"/>
          <w:szCs w:val="20"/>
        </w:rPr>
        <w:t xml:space="preserve"> Istotnej zmiany Wskaźnika alternatywnego oraz zaprzestania publikacji Wskaźnika alternatywnego.</w:t>
      </w:r>
    </w:p>
    <w:p w14:paraId="5699195B" w14:textId="4A299E60" w:rsidR="009B6E2A" w:rsidRPr="00D16B1F" w:rsidRDefault="00D16B1F" w:rsidP="006004D7">
      <w:pPr>
        <w:pStyle w:val="Akapitzlist"/>
        <w:numPr>
          <w:ilvl w:val="0"/>
          <w:numId w:val="33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80" w:after="0" w:line="24" w:lineRule="atLeast"/>
        <w:ind w:left="426" w:hanging="426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16B1F">
        <w:rPr>
          <w:rFonts w:ascii="Times New Roman" w:hAnsi="Times New Roman" w:cs="Times New Roman"/>
          <w:color w:val="000000"/>
          <w:sz w:val="20"/>
          <w:szCs w:val="20"/>
        </w:rPr>
        <w:t>Istotna zmiana W</w:t>
      </w:r>
      <w:r w:rsidR="00CC5055" w:rsidRPr="00D16B1F">
        <w:rPr>
          <w:rFonts w:ascii="Times New Roman" w:hAnsi="Times New Roman" w:cs="Times New Roman"/>
          <w:color w:val="000000"/>
          <w:sz w:val="20"/>
          <w:szCs w:val="20"/>
        </w:rPr>
        <w:t xml:space="preserve">skaźnika </w:t>
      </w:r>
      <w:r w:rsidRPr="00D16B1F">
        <w:rPr>
          <w:rFonts w:ascii="Times New Roman" w:hAnsi="Times New Roman" w:cs="Times New Roman"/>
          <w:color w:val="000000"/>
          <w:sz w:val="20"/>
          <w:szCs w:val="20"/>
        </w:rPr>
        <w:t xml:space="preserve">referencyjnego </w:t>
      </w:r>
      <w:r w:rsidR="00CC5055" w:rsidRPr="00D16B1F">
        <w:rPr>
          <w:rFonts w:ascii="Times New Roman" w:hAnsi="Times New Roman" w:cs="Times New Roman"/>
          <w:color w:val="000000"/>
          <w:sz w:val="20"/>
          <w:szCs w:val="20"/>
        </w:rPr>
        <w:t xml:space="preserve">bądź zmiana Wskaźnika referencyjnego na Wskaźnik alternatywny </w:t>
      </w:r>
      <w:r w:rsidR="00BE23FD" w:rsidRPr="00D16B1F">
        <w:rPr>
          <w:rFonts w:ascii="Times New Roman" w:hAnsi="Times New Roman" w:cs="Times New Roman"/>
          <w:color w:val="000000"/>
          <w:sz w:val="20"/>
          <w:szCs w:val="20"/>
        </w:rPr>
        <w:t xml:space="preserve">w </w:t>
      </w:r>
      <w:r w:rsidR="00CC5055" w:rsidRPr="00D16B1F">
        <w:rPr>
          <w:rFonts w:ascii="Times New Roman" w:hAnsi="Times New Roman" w:cs="Times New Roman"/>
          <w:color w:val="000000"/>
          <w:sz w:val="20"/>
          <w:szCs w:val="20"/>
        </w:rPr>
        <w:t>związku z wystąpieniem Zdarzenia regu</w:t>
      </w:r>
      <w:r w:rsidRPr="00D16B1F">
        <w:rPr>
          <w:rFonts w:ascii="Times New Roman" w:hAnsi="Times New Roman" w:cs="Times New Roman"/>
          <w:color w:val="000000"/>
          <w:sz w:val="20"/>
          <w:szCs w:val="20"/>
        </w:rPr>
        <w:t>lacyjnego, nie stanowią zmiany u</w:t>
      </w:r>
      <w:r w:rsidR="00CC5055" w:rsidRPr="00D16B1F">
        <w:rPr>
          <w:rFonts w:ascii="Times New Roman" w:hAnsi="Times New Roman" w:cs="Times New Roman"/>
          <w:color w:val="000000"/>
          <w:sz w:val="20"/>
          <w:szCs w:val="20"/>
        </w:rPr>
        <w:t>mowy i nie wymagają zawarcia aneksu</w:t>
      </w:r>
      <w:r w:rsidRPr="00D16B1F">
        <w:rPr>
          <w:rFonts w:ascii="Times New Roman" w:hAnsi="Times New Roman" w:cs="Times New Roman"/>
          <w:color w:val="000000"/>
          <w:sz w:val="20"/>
          <w:szCs w:val="20"/>
        </w:rPr>
        <w:t xml:space="preserve"> do umowy</w:t>
      </w:r>
      <w:r w:rsidR="00CC5055" w:rsidRPr="00D16B1F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sectPr w:rsidR="009B6E2A" w:rsidRPr="00D16B1F" w:rsidSect="001620D7">
      <w:pgSz w:w="11906" w:h="16838" w:code="9"/>
      <w:pgMar w:top="567" w:right="1417" w:bottom="1417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89DE2" w14:textId="77777777" w:rsidR="004C6B48" w:rsidRDefault="004C6B48" w:rsidP="0093467D">
      <w:pPr>
        <w:spacing w:after="0" w:line="240" w:lineRule="auto"/>
      </w:pPr>
      <w:r>
        <w:separator/>
      </w:r>
    </w:p>
  </w:endnote>
  <w:endnote w:type="continuationSeparator" w:id="0">
    <w:p w14:paraId="587E955B" w14:textId="77777777" w:rsidR="004C6B48" w:rsidRDefault="004C6B48" w:rsidP="0093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058D" w14:textId="77777777" w:rsidR="004C6B48" w:rsidRDefault="004C6B48" w:rsidP="0093467D">
      <w:pPr>
        <w:spacing w:after="0" w:line="240" w:lineRule="auto"/>
      </w:pPr>
      <w:r>
        <w:separator/>
      </w:r>
    </w:p>
  </w:footnote>
  <w:footnote w:type="continuationSeparator" w:id="0">
    <w:p w14:paraId="5ECB0CE7" w14:textId="77777777" w:rsidR="004C6B48" w:rsidRDefault="004C6B48" w:rsidP="00934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EB61300"/>
    <w:lvl w:ilvl="0">
      <w:numFmt w:val="bullet"/>
      <w:lvlText w:val="*"/>
      <w:lvlJc w:val="left"/>
    </w:lvl>
  </w:abstractNum>
  <w:abstractNum w:abstractNumId="1" w15:restartNumberingAfterBreak="0">
    <w:nsid w:val="022E53DC"/>
    <w:multiLevelType w:val="multilevel"/>
    <w:tmpl w:val="8ECA68E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eastAsiaTheme="minorHAnsi" w:hAnsi="Times New Roman" w:cs="Times New Roman"/>
        <w:b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1070"/>
        </w:tabs>
        <w:ind w:left="1067" w:hanging="35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2"/>
        </w:tabs>
        <w:ind w:left="120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default"/>
      </w:rPr>
    </w:lvl>
  </w:abstractNum>
  <w:abstractNum w:abstractNumId="2" w15:restartNumberingAfterBreak="0">
    <w:nsid w:val="02731C30"/>
    <w:multiLevelType w:val="hybridMultilevel"/>
    <w:tmpl w:val="5CCC518C"/>
    <w:lvl w:ilvl="0" w:tplc="F42CFBFA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E6564"/>
    <w:multiLevelType w:val="hybridMultilevel"/>
    <w:tmpl w:val="C44040E4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366CA"/>
    <w:multiLevelType w:val="hybridMultilevel"/>
    <w:tmpl w:val="8376EC76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A421F"/>
    <w:multiLevelType w:val="hybridMultilevel"/>
    <w:tmpl w:val="675EE72C"/>
    <w:lvl w:ilvl="0" w:tplc="C9F42E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CF3C85"/>
    <w:multiLevelType w:val="hybridMultilevel"/>
    <w:tmpl w:val="FE580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74526"/>
    <w:multiLevelType w:val="hybridMultilevel"/>
    <w:tmpl w:val="198C9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30DB9"/>
    <w:multiLevelType w:val="hybridMultilevel"/>
    <w:tmpl w:val="EE90CF4A"/>
    <w:lvl w:ilvl="0" w:tplc="E56C1988">
      <w:start w:val="1"/>
      <w:numFmt w:val="lowerRoman"/>
      <w:lvlText w:val="(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9" w15:restartNumberingAfterBreak="0">
    <w:nsid w:val="16B84D5A"/>
    <w:multiLevelType w:val="multilevel"/>
    <w:tmpl w:val="8ECA68E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eastAsiaTheme="minorHAnsi" w:hAnsi="Times New Roman" w:cs="Times New Roman"/>
        <w:b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1" w:hanging="35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2"/>
        </w:tabs>
        <w:ind w:left="120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default"/>
      </w:rPr>
    </w:lvl>
  </w:abstractNum>
  <w:abstractNum w:abstractNumId="10" w15:restartNumberingAfterBreak="0">
    <w:nsid w:val="291A7211"/>
    <w:multiLevelType w:val="hybridMultilevel"/>
    <w:tmpl w:val="A5BA4E04"/>
    <w:lvl w:ilvl="0" w:tplc="499EC9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B4BD7"/>
    <w:multiLevelType w:val="hybridMultilevel"/>
    <w:tmpl w:val="FD8EB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353DC"/>
    <w:multiLevelType w:val="hybridMultilevel"/>
    <w:tmpl w:val="FCE6A658"/>
    <w:lvl w:ilvl="0" w:tplc="1D5A71B8">
      <w:start w:val="50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1455785"/>
    <w:multiLevelType w:val="hybridMultilevel"/>
    <w:tmpl w:val="E6C46C34"/>
    <w:lvl w:ilvl="0" w:tplc="75F6E78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4B7F8F"/>
    <w:multiLevelType w:val="hybridMultilevel"/>
    <w:tmpl w:val="EE90CF4A"/>
    <w:lvl w:ilvl="0" w:tplc="E56C1988">
      <w:start w:val="1"/>
      <w:numFmt w:val="lowerRoman"/>
      <w:lvlText w:val="(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5" w15:restartNumberingAfterBreak="0">
    <w:nsid w:val="383C0512"/>
    <w:multiLevelType w:val="hybridMultilevel"/>
    <w:tmpl w:val="0A02464A"/>
    <w:lvl w:ilvl="0" w:tplc="5778ECAC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FC81DF1"/>
    <w:multiLevelType w:val="hybridMultilevel"/>
    <w:tmpl w:val="675EE72C"/>
    <w:lvl w:ilvl="0" w:tplc="C9F42E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234587"/>
    <w:multiLevelType w:val="multilevel"/>
    <w:tmpl w:val="0EC4BAC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18" w15:restartNumberingAfterBreak="0">
    <w:nsid w:val="45C31480"/>
    <w:multiLevelType w:val="hybridMultilevel"/>
    <w:tmpl w:val="FD8EB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80275"/>
    <w:multiLevelType w:val="hybridMultilevel"/>
    <w:tmpl w:val="49640ADC"/>
    <w:lvl w:ilvl="0" w:tplc="E9B45C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50FAE"/>
    <w:multiLevelType w:val="hybridMultilevel"/>
    <w:tmpl w:val="EE90CF4A"/>
    <w:lvl w:ilvl="0" w:tplc="E56C1988">
      <w:start w:val="1"/>
      <w:numFmt w:val="lowerRoman"/>
      <w:lvlText w:val="(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1" w15:restartNumberingAfterBreak="0">
    <w:nsid w:val="539C486C"/>
    <w:multiLevelType w:val="hybridMultilevel"/>
    <w:tmpl w:val="675EE72C"/>
    <w:lvl w:ilvl="0" w:tplc="C9F42E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01514F"/>
    <w:multiLevelType w:val="multilevel"/>
    <w:tmpl w:val="8ECA68E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eastAsiaTheme="minorHAnsi" w:hAnsi="Times New Roman" w:cs="Times New Roman"/>
        <w:b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1" w:hanging="35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2"/>
        </w:tabs>
        <w:ind w:left="120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default"/>
      </w:rPr>
    </w:lvl>
  </w:abstractNum>
  <w:abstractNum w:abstractNumId="23" w15:restartNumberingAfterBreak="0">
    <w:nsid w:val="5D652F2B"/>
    <w:multiLevelType w:val="hybridMultilevel"/>
    <w:tmpl w:val="6EFC2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05608"/>
    <w:multiLevelType w:val="hybridMultilevel"/>
    <w:tmpl w:val="EE90CF4A"/>
    <w:lvl w:ilvl="0" w:tplc="E56C1988">
      <w:start w:val="1"/>
      <w:numFmt w:val="lowerRoman"/>
      <w:lvlText w:val="(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5" w15:restartNumberingAfterBreak="0">
    <w:nsid w:val="5F034F6D"/>
    <w:multiLevelType w:val="hybridMultilevel"/>
    <w:tmpl w:val="EE90CF4A"/>
    <w:lvl w:ilvl="0" w:tplc="E56C1988">
      <w:start w:val="1"/>
      <w:numFmt w:val="lowerRoman"/>
      <w:lvlText w:val="(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6" w15:restartNumberingAfterBreak="0">
    <w:nsid w:val="5F3137CB"/>
    <w:multiLevelType w:val="multilevel"/>
    <w:tmpl w:val="C1D2420E"/>
    <w:lvl w:ilvl="0">
      <w:start w:val="4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eastAsiaTheme="minorHAnsi" w:hAnsi="Times New Roman" w:cs="Times New Roman" w:hint="default"/>
        <w:b/>
        <w:i w:val="0"/>
        <w:strike w:val="0"/>
        <w:dstrike w:val="0"/>
        <w:color w:val="auto"/>
        <w:u w:val="none"/>
        <w:effect w:val="none"/>
      </w:rPr>
    </w:lvl>
    <w:lvl w:ilvl="1">
      <w:start w:val="2"/>
      <w:numFmt w:val="decimal"/>
      <w:lvlText w:val="%2)"/>
      <w:lvlJc w:val="left"/>
      <w:pPr>
        <w:tabs>
          <w:tab w:val="num" w:pos="644"/>
        </w:tabs>
        <w:ind w:left="641" w:hanging="35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2"/>
        </w:tabs>
        <w:ind w:left="120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default"/>
      </w:rPr>
    </w:lvl>
  </w:abstractNum>
  <w:abstractNum w:abstractNumId="27" w15:restartNumberingAfterBreak="0">
    <w:nsid w:val="65BA6041"/>
    <w:multiLevelType w:val="hybridMultilevel"/>
    <w:tmpl w:val="0C5EDC0C"/>
    <w:lvl w:ilvl="0" w:tplc="A4306CCA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F551A"/>
    <w:multiLevelType w:val="hybridMultilevel"/>
    <w:tmpl w:val="2BBC4346"/>
    <w:lvl w:ilvl="0" w:tplc="61521656">
      <w:start w:val="10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6A004C47"/>
    <w:multiLevelType w:val="hybridMultilevel"/>
    <w:tmpl w:val="EE90CF4A"/>
    <w:lvl w:ilvl="0" w:tplc="E56C1988">
      <w:start w:val="1"/>
      <w:numFmt w:val="lowerRoman"/>
      <w:lvlText w:val="(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30" w15:restartNumberingAfterBreak="0">
    <w:nsid w:val="6C4E3A72"/>
    <w:multiLevelType w:val="hybridMultilevel"/>
    <w:tmpl w:val="198C9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C56FB"/>
    <w:multiLevelType w:val="hybridMultilevel"/>
    <w:tmpl w:val="5D9CACF0"/>
    <w:lvl w:ilvl="0" w:tplc="C9F42E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1052C7"/>
    <w:multiLevelType w:val="hybridMultilevel"/>
    <w:tmpl w:val="675EE72C"/>
    <w:lvl w:ilvl="0" w:tplc="C9F42E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04E82"/>
    <w:multiLevelType w:val="multilevel"/>
    <w:tmpl w:val="0F580C2C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3" w:hanging="35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2"/>
        </w:tabs>
        <w:ind w:left="120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default"/>
      </w:rPr>
    </w:lvl>
  </w:abstractNum>
  <w:abstractNum w:abstractNumId="34" w15:restartNumberingAfterBreak="0">
    <w:nsid w:val="7B7D4BD3"/>
    <w:multiLevelType w:val="hybridMultilevel"/>
    <w:tmpl w:val="FD8EB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307D8E"/>
    <w:multiLevelType w:val="hybridMultilevel"/>
    <w:tmpl w:val="E5688A3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39662686">
    <w:abstractNumId w:val="1"/>
  </w:num>
  <w:num w:numId="2" w16cid:durableId="12762499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8302385">
    <w:abstractNumId w:val="26"/>
  </w:num>
  <w:num w:numId="4" w16cid:durableId="1950696411">
    <w:abstractNumId w:val="3"/>
  </w:num>
  <w:num w:numId="5" w16cid:durableId="398094031">
    <w:abstractNumId w:val="4"/>
  </w:num>
  <w:num w:numId="6" w16cid:durableId="1859809421">
    <w:abstractNumId w:val="12"/>
  </w:num>
  <w:num w:numId="7" w16cid:durableId="1798797304">
    <w:abstractNumId w:val="2"/>
  </w:num>
  <w:num w:numId="8" w16cid:durableId="2041856415">
    <w:abstractNumId w:val="10"/>
  </w:num>
  <w:num w:numId="9" w16cid:durableId="1058164092">
    <w:abstractNumId w:val="28"/>
  </w:num>
  <w:num w:numId="10" w16cid:durableId="621307257">
    <w:abstractNumId w:val="6"/>
  </w:num>
  <w:num w:numId="11" w16cid:durableId="603806849">
    <w:abstractNumId w:val="15"/>
  </w:num>
  <w:num w:numId="12" w16cid:durableId="670183085">
    <w:abstractNumId w:val="27"/>
  </w:num>
  <w:num w:numId="13" w16cid:durableId="16111836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4" w16cid:durableId="1573198269">
    <w:abstractNumId w:val="17"/>
  </w:num>
  <w:num w:numId="15" w16cid:durableId="1144586897">
    <w:abstractNumId w:val="22"/>
  </w:num>
  <w:num w:numId="16" w16cid:durableId="1180118765">
    <w:abstractNumId w:val="9"/>
  </w:num>
  <w:num w:numId="17" w16cid:durableId="899942221">
    <w:abstractNumId w:val="33"/>
  </w:num>
  <w:num w:numId="18" w16cid:durableId="1129591252">
    <w:abstractNumId w:val="11"/>
  </w:num>
  <w:num w:numId="19" w16cid:durableId="2107454892">
    <w:abstractNumId w:val="13"/>
  </w:num>
  <w:num w:numId="20" w16cid:durableId="531655338">
    <w:abstractNumId w:val="14"/>
  </w:num>
  <w:num w:numId="21" w16cid:durableId="1101804007">
    <w:abstractNumId w:val="20"/>
  </w:num>
  <w:num w:numId="22" w16cid:durableId="473107570">
    <w:abstractNumId w:val="5"/>
  </w:num>
  <w:num w:numId="23" w16cid:durableId="1375428377">
    <w:abstractNumId w:val="32"/>
  </w:num>
  <w:num w:numId="24" w16cid:durableId="532890808">
    <w:abstractNumId w:val="35"/>
  </w:num>
  <w:num w:numId="25" w16cid:durableId="583298374">
    <w:abstractNumId w:val="31"/>
  </w:num>
  <w:num w:numId="26" w16cid:durableId="1279992221">
    <w:abstractNumId w:val="34"/>
  </w:num>
  <w:num w:numId="27" w16cid:durableId="821124188">
    <w:abstractNumId w:val="8"/>
  </w:num>
  <w:num w:numId="28" w16cid:durableId="1280721306">
    <w:abstractNumId w:val="29"/>
  </w:num>
  <w:num w:numId="29" w16cid:durableId="886840294">
    <w:abstractNumId w:val="21"/>
  </w:num>
  <w:num w:numId="30" w16cid:durableId="441849058">
    <w:abstractNumId w:val="7"/>
  </w:num>
  <w:num w:numId="31" w16cid:durableId="885800048">
    <w:abstractNumId w:val="30"/>
  </w:num>
  <w:num w:numId="32" w16cid:durableId="2087531697">
    <w:abstractNumId w:val="23"/>
  </w:num>
  <w:num w:numId="33" w16cid:durableId="1412850675">
    <w:abstractNumId w:val="18"/>
  </w:num>
  <w:num w:numId="34" w16cid:durableId="2066365887">
    <w:abstractNumId w:val="24"/>
  </w:num>
  <w:num w:numId="35" w16cid:durableId="1957055724">
    <w:abstractNumId w:val="25"/>
  </w:num>
  <w:num w:numId="36" w16cid:durableId="491524240">
    <w:abstractNumId w:val="16"/>
  </w:num>
  <w:num w:numId="37" w16cid:durableId="20238971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67D"/>
    <w:rsid w:val="000070AF"/>
    <w:rsid w:val="00014169"/>
    <w:rsid w:val="00014247"/>
    <w:rsid w:val="00016519"/>
    <w:rsid w:val="00023970"/>
    <w:rsid w:val="000266BA"/>
    <w:rsid w:val="000327E5"/>
    <w:rsid w:val="00033D1D"/>
    <w:rsid w:val="00046943"/>
    <w:rsid w:val="00051B76"/>
    <w:rsid w:val="000559E5"/>
    <w:rsid w:val="0005719A"/>
    <w:rsid w:val="0006016B"/>
    <w:rsid w:val="00060355"/>
    <w:rsid w:val="00060C97"/>
    <w:rsid w:val="00065C13"/>
    <w:rsid w:val="0006794F"/>
    <w:rsid w:val="00067F75"/>
    <w:rsid w:val="00070E81"/>
    <w:rsid w:val="00072C29"/>
    <w:rsid w:val="00073B4B"/>
    <w:rsid w:val="0009092A"/>
    <w:rsid w:val="000916A3"/>
    <w:rsid w:val="00091C3D"/>
    <w:rsid w:val="00092BE8"/>
    <w:rsid w:val="000A54DF"/>
    <w:rsid w:val="000B1E1F"/>
    <w:rsid w:val="000D777F"/>
    <w:rsid w:val="000E226E"/>
    <w:rsid w:val="000E4DF5"/>
    <w:rsid w:val="000F0CC0"/>
    <w:rsid w:val="000F15DB"/>
    <w:rsid w:val="000F3D9E"/>
    <w:rsid w:val="000F3FA6"/>
    <w:rsid w:val="000F4EAD"/>
    <w:rsid w:val="000F73AC"/>
    <w:rsid w:val="00107191"/>
    <w:rsid w:val="001116B4"/>
    <w:rsid w:val="00112151"/>
    <w:rsid w:val="00116BF2"/>
    <w:rsid w:val="00130266"/>
    <w:rsid w:val="001337A0"/>
    <w:rsid w:val="00136192"/>
    <w:rsid w:val="00136FAE"/>
    <w:rsid w:val="00137A93"/>
    <w:rsid w:val="00144652"/>
    <w:rsid w:val="0014620C"/>
    <w:rsid w:val="0014630D"/>
    <w:rsid w:val="00146BA7"/>
    <w:rsid w:val="001508EF"/>
    <w:rsid w:val="00152B3B"/>
    <w:rsid w:val="00156171"/>
    <w:rsid w:val="00160DB4"/>
    <w:rsid w:val="001620D7"/>
    <w:rsid w:val="00163199"/>
    <w:rsid w:val="0016603F"/>
    <w:rsid w:val="001665F1"/>
    <w:rsid w:val="001711A1"/>
    <w:rsid w:val="00173DD4"/>
    <w:rsid w:val="001830EB"/>
    <w:rsid w:val="00185EB1"/>
    <w:rsid w:val="00191F33"/>
    <w:rsid w:val="00195AF1"/>
    <w:rsid w:val="00196F13"/>
    <w:rsid w:val="00197D5D"/>
    <w:rsid w:val="001A24B3"/>
    <w:rsid w:val="001A35CC"/>
    <w:rsid w:val="001A4B8E"/>
    <w:rsid w:val="001B0C93"/>
    <w:rsid w:val="001B1692"/>
    <w:rsid w:val="001B16CC"/>
    <w:rsid w:val="001B528E"/>
    <w:rsid w:val="001B56B1"/>
    <w:rsid w:val="001C1533"/>
    <w:rsid w:val="001C1E63"/>
    <w:rsid w:val="001C277A"/>
    <w:rsid w:val="001C2ED5"/>
    <w:rsid w:val="001C5CBA"/>
    <w:rsid w:val="001C61FE"/>
    <w:rsid w:val="001D4F26"/>
    <w:rsid w:val="001D5D48"/>
    <w:rsid w:val="001E2FF2"/>
    <w:rsid w:val="001E3568"/>
    <w:rsid w:val="001E69D3"/>
    <w:rsid w:val="001F22FD"/>
    <w:rsid w:val="002044FC"/>
    <w:rsid w:val="0020510D"/>
    <w:rsid w:val="002100C7"/>
    <w:rsid w:val="002202DF"/>
    <w:rsid w:val="0022332B"/>
    <w:rsid w:val="00225928"/>
    <w:rsid w:val="00240E67"/>
    <w:rsid w:val="00250CFD"/>
    <w:rsid w:val="002513C9"/>
    <w:rsid w:val="002611C6"/>
    <w:rsid w:val="00262DB9"/>
    <w:rsid w:val="00272F7E"/>
    <w:rsid w:val="002735DC"/>
    <w:rsid w:val="00273EF8"/>
    <w:rsid w:val="0028431E"/>
    <w:rsid w:val="00291485"/>
    <w:rsid w:val="00292EB3"/>
    <w:rsid w:val="00293BAA"/>
    <w:rsid w:val="0029543A"/>
    <w:rsid w:val="00296B03"/>
    <w:rsid w:val="00297574"/>
    <w:rsid w:val="002B5CDC"/>
    <w:rsid w:val="002B75B5"/>
    <w:rsid w:val="002C2DBD"/>
    <w:rsid w:val="002D18E9"/>
    <w:rsid w:val="002D7A3B"/>
    <w:rsid w:val="002E5775"/>
    <w:rsid w:val="002F1564"/>
    <w:rsid w:val="002F3EE2"/>
    <w:rsid w:val="002F5BFD"/>
    <w:rsid w:val="002F6720"/>
    <w:rsid w:val="00300A72"/>
    <w:rsid w:val="00301326"/>
    <w:rsid w:val="003025F7"/>
    <w:rsid w:val="0030492B"/>
    <w:rsid w:val="0031386E"/>
    <w:rsid w:val="00321F30"/>
    <w:rsid w:val="00322125"/>
    <w:rsid w:val="0032446D"/>
    <w:rsid w:val="00331853"/>
    <w:rsid w:val="003356AB"/>
    <w:rsid w:val="00335FF8"/>
    <w:rsid w:val="0033754A"/>
    <w:rsid w:val="003404BB"/>
    <w:rsid w:val="00342A1F"/>
    <w:rsid w:val="003506B1"/>
    <w:rsid w:val="003520AA"/>
    <w:rsid w:val="00352773"/>
    <w:rsid w:val="003542A5"/>
    <w:rsid w:val="00354A68"/>
    <w:rsid w:val="00357F89"/>
    <w:rsid w:val="00372D97"/>
    <w:rsid w:val="00376F2B"/>
    <w:rsid w:val="0038150B"/>
    <w:rsid w:val="00383057"/>
    <w:rsid w:val="00384733"/>
    <w:rsid w:val="0038502A"/>
    <w:rsid w:val="003A5626"/>
    <w:rsid w:val="003A56A9"/>
    <w:rsid w:val="003A694E"/>
    <w:rsid w:val="003B3326"/>
    <w:rsid w:val="003B3665"/>
    <w:rsid w:val="003C06F0"/>
    <w:rsid w:val="003D5AC9"/>
    <w:rsid w:val="003E6CF8"/>
    <w:rsid w:val="003E6F58"/>
    <w:rsid w:val="003F51B9"/>
    <w:rsid w:val="003F70B3"/>
    <w:rsid w:val="00417B44"/>
    <w:rsid w:val="004247D5"/>
    <w:rsid w:val="00435FB9"/>
    <w:rsid w:val="00447679"/>
    <w:rsid w:val="00455923"/>
    <w:rsid w:val="00457457"/>
    <w:rsid w:val="00457E86"/>
    <w:rsid w:val="00463738"/>
    <w:rsid w:val="00466824"/>
    <w:rsid w:val="00473C44"/>
    <w:rsid w:val="00483D3F"/>
    <w:rsid w:val="00485627"/>
    <w:rsid w:val="00495BB1"/>
    <w:rsid w:val="00496ED3"/>
    <w:rsid w:val="0049758C"/>
    <w:rsid w:val="004A1163"/>
    <w:rsid w:val="004A3DE8"/>
    <w:rsid w:val="004B6E3E"/>
    <w:rsid w:val="004C0F08"/>
    <w:rsid w:val="004C1FA1"/>
    <w:rsid w:val="004C27C9"/>
    <w:rsid w:val="004C37E9"/>
    <w:rsid w:val="004C475B"/>
    <w:rsid w:val="004C6B48"/>
    <w:rsid w:val="004C75CB"/>
    <w:rsid w:val="004D25C1"/>
    <w:rsid w:val="004D4CBA"/>
    <w:rsid w:val="004D7E00"/>
    <w:rsid w:val="004E41ED"/>
    <w:rsid w:val="004E6DF6"/>
    <w:rsid w:val="004F2C73"/>
    <w:rsid w:val="004F4920"/>
    <w:rsid w:val="00504D78"/>
    <w:rsid w:val="00506B52"/>
    <w:rsid w:val="00511DBD"/>
    <w:rsid w:val="00513538"/>
    <w:rsid w:val="00513DED"/>
    <w:rsid w:val="00515998"/>
    <w:rsid w:val="00515C52"/>
    <w:rsid w:val="00524F2D"/>
    <w:rsid w:val="00526982"/>
    <w:rsid w:val="00527E57"/>
    <w:rsid w:val="00531E4F"/>
    <w:rsid w:val="00535D03"/>
    <w:rsid w:val="005365E6"/>
    <w:rsid w:val="00536A81"/>
    <w:rsid w:val="005374B5"/>
    <w:rsid w:val="00537EA8"/>
    <w:rsid w:val="005429A8"/>
    <w:rsid w:val="00546039"/>
    <w:rsid w:val="005460E4"/>
    <w:rsid w:val="00553792"/>
    <w:rsid w:val="00563B1E"/>
    <w:rsid w:val="00564029"/>
    <w:rsid w:val="005713FA"/>
    <w:rsid w:val="00585BBE"/>
    <w:rsid w:val="00586C4C"/>
    <w:rsid w:val="00586C70"/>
    <w:rsid w:val="00594277"/>
    <w:rsid w:val="005A1AB2"/>
    <w:rsid w:val="005A3CFE"/>
    <w:rsid w:val="005A4B21"/>
    <w:rsid w:val="005A4B4B"/>
    <w:rsid w:val="005B0D98"/>
    <w:rsid w:val="005B26F9"/>
    <w:rsid w:val="005B5279"/>
    <w:rsid w:val="005C2F90"/>
    <w:rsid w:val="005C3CAA"/>
    <w:rsid w:val="005D0F49"/>
    <w:rsid w:val="005D27C6"/>
    <w:rsid w:val="005D5403"/>
    <w:rsid w:val="005E4181"/>
    <w:rsid w:val="005E69F9"/>
    <w:rsid w:val="005F383D"/>
    <w:rsid w:val="005F650F"/>
    <w:rsid w:val="00600C73"/>
    <w:rsid w:val="0060175B"/>
    <w:rsid w:val="006040F7"/>
    <w:rsid w:val="00606D1F"/>
    <w:rsid w:val="00611B11"/>
    <w:rsid w:val="00612A18"/>
    <w:rsid w:val="00613152"/>
    <w:rsid w:val="00614EED"/>
    <w:rsid w:val="00614F48"/>
    <w:rsid w:val="00616892"/>
    <w:rsid w:val="00622242"/>
    <w:rsid w:val="006222A4"/>
    <w:rsid w:val="00624CAC"/>
    <w:rsid w:val="006302CA"/>
    <w:rsid w:val="006341AA"/>
    <w:rsid w:val="00634BA9"/>
    <w:rsid w:val="00637B0A"/>
    <w:rsid w:val="00645AF4"/>
    <w:rsid w:val="00645DF5"/>
    <w:rsid w:val="00646CE6"/>
    <w:rsid w:val="00650716"/>
    <w:rsid w:val="00656B8D"/>
    <w:rsid w:val="00670CEC"/>
    <w:rsid w:val="00673D0A"/>
    <w:rsid w:val="00681609"/>
    <w:rsid w:val="006936F3"/>
    <w:rsid w:val="006A3A60"/>
    <w:rsid w:val="006A47C6"/>
    <w:rsid w:val="006A4E90"/>
    <w:rsid w:val="006A5C82"/>
    <w:rsid w:val="006B16D6"/>
    <w:rsid w:val="006B4D64"/>
    <w:rsid w:val="006B7603"/>
    <w:rsid w:val="006C11C5"/>
    <w:rsid w:val="006C2827"/>
    <w:rsid w:val="006C3704"/>
    <w:rsid w:val="006C6C8E"/>
    <w:rsid w:val="006E03E3"/>
    <w:rsid w:val="006E12C3"/>
    <w:rsid w:val="006E21E2"/>
    <w:rsid w:val="006F18C0"/>
    <w:rsid w:val="006F25B7"/>
    <w:rsid w:val="006F277A"/>
    <w:rsid w:val="006F3601"/>
    <w:rsid w:val="006F6CAC"/>
    <w:rsid w:val="00705D8B"/>
    <w:rsid w:val="0070714F"/>
    <w:rsid w:val="007102BA"/>
    <w:rsid w:val="00714D5E"/>
    <w:rsid w:val="00716AF5"/>
    <w:rsid w:val="0072235B"/>
    <w:rsid w:val="0072698A"/>
    <w:rsid w:val="00734CF7"/>
    <w:rsid w:val="007366CC"/>
    <w:rsid w:val="00736B9B"/>
    <w:rsid w:val="00743395"/>
    <w:rsid w:val="007456C3"/>
    <w:rsid w:val="0075003D"/>
    <w:rsid w:val="00755DA4"/>
    <w:rsid w:val="00755FA5"/>
    <w:rsid w:val="007600C0"/>
    <w:rsid w:val="00763AA2"/>
    <w:rsid w:val="00764AD2"/>
    <w:rsid w:val="00775454"/>
    <w:rsid w:val="00782C4C"/>
    <w:rsid w:val="00786FE5"/>
    <w:rsid w:val="007908BE"/>
    <w:rsid w:val="00791179"/>
    <w:rsid w:val="0079344C"/>
    <w:rsid w:val="007936D5"/>
    <w:rsid w:val="007A2A6B"/>
    <w:rsid w:val="007A520D"/>
    <w:rsid w:val="007A6B7F"/>
    <w:rsid w:val="007B70B9"/>
    <w:rsid w:val="007B7644"/>
    <w:rsid w:val="007C0861"/>
    <w:rsid w:val="007C2200"/>
    <w:rsid w:val="007C22DA"/>
    <w:rsid w:val="007D41EE"/>
    <w:rsid w:val="007D615D"/>
    <w:rsid w:val="007D7155"/>
    <w:rsid w:val="007E6D58"/>
    <w:rsid w:val="007E7FDC"/>
    <w:rsid w:val="007F13CE"/>
    <w:rsid w:val="007F281A"/>
    <w:rsid w:val="007F4494"/>
    <w:rsid w:val="00806907"/>
    <w:rsid w:val="00807F33"/>
    <w:rsid w:val="00810456"/>
    <w:rsid w:val="0081147C"/>
    <w:rsid w:val="0081410C"/>
    <w:rsid w:val="00820E62"/>
    <w:rsid w:val="008224D8"/>
    <w:rsid w:val="0083794B"/>
    <w:rsid w:val="00837E4E"/>
    <w:rsid w:val="00840651"/>
    <w:rsid w:val="008452E0"/>
    <w:rsid w:val="008463CA"/>
    <w:rsid w:val="00852AB2"/>
    <w:rsid w:val="0085387F"/>
    <w:rsid w:val="008629F8"/>
    <w:rsid w:val="008729A2"/>
    <w:rsid w:val="00873EB6"/>
    <w:rsid w:val="00884981"/>
    <w:rsid w:val="00884C34"/>
    <w:rsid w:val="0088798F"/>
    <w:rsid w:val="008A3E1B"/>
    <w:rsid w:val="008A3EFC"/>
    <w:rsid w:val="008A70D6"/>
    <w:rsid w:val="008B34F3"/>
    <w:rsid w:val="008B6496"/>
    <w:rsid w:val="008B74E0"/>
    <w:rsid w:val="008C0AF9"/>
    <w:rsid w:val="008C69FA"/>
    <w:rsid w:val="008D2F2D"/>
    <w:rsid w:val="008E3705"/>
    <w:rsid w:val="008E4932"/>
    <w:rsid w:val="008E4E31"/>
    <w:rsid w:val="008E5ED3"/>
    <w:rsid w:val="008E6E90"/>
    <w:rsid w:val="008F4865"/>
    <w:rsid w:val="008F5F2A"/>
    <w:rsid w:val="008F6E50"/>
    <w:rsid w:val="00902083"/>
    <w:rsid w:val="00905492"/>
    <w:rsid w:val="00915962"/>
    <w:rsid w:val="00926815"/>
    <w:rsid w:val="00930F35"/>
    <w:rsid w:val="00933B7B"/>
    <w:rsid w:val="0093467D"/>
    <w:rsid w:val="0094067B"/>
    <w:rsid w:val="00942006"/>
    <w:rsid w:val="009422DA"/>
    <w:rsid w:val="009427AA"/>
    <w:rsid w:val="00943DF9"/>
    <w:rsid w:val="00945B5A"/>
    <w:rsid w:val="00950895"/>
    <w:rsid w:val="00956189"/>
    <w:rsid w:val="00965D06"/>
    <w:rsid w:val="00973744"/>
    <w:rsid w:val="00974540"/>
    <w:rsid w:val="0098044C"/>
    <w:rsid w:val="00982F0E"/>
    <w:rsid w:val="00987056"/>
    <w:rsid w:val="009925D0"/>
    <w:rsid w:val="009A363A"/>
    <w:rsid w:val="009A5030"/>
    <w:rsid w:val="009A78CF"/>
    <w:rsid w:val="009B0996"/>
    <w:rsid w:val="009B09B3"/>
    <w:rsid w:val="009B24DA"/>
    <w:rsid w:val="009B6E2A"/>
    <w:rsid w:val="009C1AFB"/>
    <w:rsid w:val="009C5A7A"/>
    <w:rsid w:val="009D3953"/>
    <w:rsid w:val="009D3DA0"/>
    <w:rsid w:val="009D516B"/>
    <w:rsid w:val="009E070D"/>
    <w:rsid w:val="009E0A99"/>
    <w:rsid w:val="009E5E71"/>
    <w:rsid w:val="009E6BC2"/>
    <w:rsid w:val="009E6CA6"/>
    <w:rsid w:val="00A03CBE"/>
    <w:rsid w:val="00A077DA"/>
    <w:rsid w:val="00A0780D"/>
    <w:rsid w:val="00A14D72"/>
    <w:rsid w:val="00A158DD"/>
    <w:rsid w:val="00A15B6A"/>
    <w:rsid w:val="00A24FDA"/>
    <w:rsid w:val="00A250D5"/>
    <w:rsid w:val="00A32A36"/>
    <w:rsid w:val="00A34095"/>
    <w:rsid w:val="00A3433C"/>
    <w:rsid w:val="00A3553A"/>
    <w:rsid w:val="00A417DC"/>
    <w:rsid w:val="00A457C4"/>
    <w:rsid w:val="00A50314"/>
    <w:rsid w:val="00A63054"/>
    <w:rsid w:val="00A709C0"/>
    <w:rsid w:val="00A7144D"/>
    <w:rsid w:val="00A73CE9"/>
    <w:rsid w:val="00A82C24"/>
    <w:rsid w:val="00A83D89"/>
    <w:rsid w:val="00A90795"/>
    <w:rsid w:val="00A9312D"/>
    <w:rsid w:val="00A93492"/>
    <w:rsid w:val="00AA030A"/>
    <w:rsid w:val="00AA22BE"/>
    <w:rsid w:val="00AA3BE2"/>
    <w:rsid w:val="00AC2D7D"/>
    <w:rsid w:val="00AC5B40"/>
    <w:rsid w:val="00AD30CF"/>
    <w:rsid w:val="00AD3997"/>
    <w:rsid w:val="00AD4B66"/>
    <w:rsid w:val="00AD4BAC"/>
    <w:rsid w:val="00AD6187"/>
    <w:rsid w:val="00AE2151"/>
    <w:rsid w:val="00AF5112"/>
    <w:rsid w:val="00B038F7"/>
    <w:rsid w:val="00B03B9B"/>
    <w:rsid w:val="00B04CA5"/>
    <w:rsid w:val="00B04F09"/>
    <w:rsid w:val="00B133CC"/>
    <w:rsid w:val="00B157E2"/>
    <w:rsid w:val="00B15DE3"/>
    <w:rsid w:val="00B17082"/>
    <w:rsid w:val="00B23E68"/>
    <w:rsid w:val="00B2515F"/>
    <w:rsid w:val="00B27630"/>
    <w:rsid w:val="00B31A7D"/>
    <w:rsid w:val="00B323D4"/>
    <w:rsid w:val="00B33738"/>
    <w:rsid w:val="00B34371"/>
    <w:rsid w:val="00B54790"/>
    <w:rsid w:val="00B610B2"/>
    <w:rsid w:val="00B61FAF"/>
    <w:rsid w:val="00B64C4B"/>
    <w:rsid w:val="00B678F7"/>
    <w:rsid w:val="00B7320B"/>
    <w:rsid w:val="00B8496B"/>
    <w:rsid w:val="00B84F6D"/>
    <w:rsid w:val="00B94879"/>
    <w:rsid w:val="00B96664"/>
    <w:rsid w:val="00BA3352"/>
    <w:rsid w:val="00BA5ADD"/>
    <w:rsid w:val="00BA6D6A"/>
    <w:rsid w:val="00BB40BC"/>
    <w:rsid w:val="00BB65B4"/>
    <w:rsid w:val="00BC36C4"/>
    <w:rsid w:val="00BC4699"/>
    <w:rsid w:val="00BC5912"/>
    <w:rsid w:val="00BD27F9"/>
    <w:rsid w:val="00BD3C01"/>
    <w:rsid w:val="00BD549F"/>
    <w:rsid w:val="00BE23FD"/>
    <w:rsid w:val="00BE26BC"/>
    <w:rsid w:val="00BE4ADB"/>
    <w:rsid w:val="00BE4E16"/>
    <w:rsid w:val="00BE6DF5"/>
    <w:rsid w:val="00BF2206"/>
    <w:rsid w:val="00C01912"/>
    <w:rsid w:val="00C0546F"/>
    <w:rsid w:val="00C0643F"/>
    <w:rsid w:val="00C10C95"/>
    <w:rsid w:val="00C12C42"/>
    <w:rsid w:val="00C13A95"/>
    <w:rsid w:val="00C15033"/>
    <w:rsid w:val="00C172AB"/>
    <w:rsid w:val="00C17A78"/>
    <w:rsid w:val="00C17F43"/>
    <w:rsid w:val="00C221EC"/>
    <w:rsid w:val="00C31ECE"/>
    <w:rsid w:val="00C4301B"/>
    <w:rsid w:val="00C47AD8"/>
    <w:rsid w:val="00C613E4"/>
    <w:rsid w:val="00C64E0D"/>
    <w:rsid w:val="00C66832"/>
    <w:rsid w:val="00C675F7"/>
    <w:rsid w:val="00C72725"/>
    <w:rsid w:val="00C72A80"/>
    <w:rsid w:val="00C81AB7"/>
    <w:rsid w:val="00C90137"/>
    <w:rsid w:val="00C96171"/>
    <w:rsid w:val="00CA3CCE"/>
    <w:rsid w:val="00CA5A8E"/>
    <w:rsid w:val="00CA786F"/>
    <w:rsid w:val="00CA7C2D"/>
    <w:rsid w:val="00CB240F"/>
    <w:rsid w:val="00CC01C1"/>
    <w:rsid w:val="00CC3710"/>
    <w:rsid w:val="00CC5055"/>
    <w:rsid w:val="00CC6B23"/>
    <w:rsid w:val="00CD0092"/>
    <w:rsid w:val="00CD6C8B"/>
    <w:rsid w:val="00CE743E"/>
    <w:rsid w:val="00CF1FED"/>
    <w:rsid w:val="00CF763F"/>
    <w:rsid w:val="00D03BB1"/>
    <w:rsid w:val="00D073AF"/>
    <w:rsid w:val="00D10302"/>
    <w:rsid w:val="00D1215B"/>
    <w:rsid w:val="00D12931"/>
    <w:rsid w:val="00D16B1F"/>
    <w:rsid w:val="00D23674"/>
    <w:rsid w:val="00D261A7"/>
    <w:rsid w:val="00D41639"/>
    <w:rsid w:val="00D4708C"/>
    <w:rsid w:val="00D47B29"/>
    <w:rsid w:val="00D47FB5"/>
    <w:rsid w:val="00D545AB"/>
    <w:rsid w:val="00D564A2"/>
    <w:rsid w:val="00D63AA8"/>
    <w:rsid w:val="00D64C6C"/>
    <w:rsid w:val="00D652BF"/>
    <w:rsid w:val="00D73631"/>
    <w:rsid w:val="00D73EA0"/>
    <w:rsid w:val="00D75BB3"/>
    <w:rsid w:val="00D75E76"/>
    <w:rsid w:val="00D77C53"/>
    <w:rsid w:val="00D830E4"/>
    <w:rsid w:val="00D87A28"/>
    <w:rsid w:val="00D954A5"/>
    <w:rsid w:val="00DA21C8"/>
    <w:rsid w:val="00DA75F2"/>
    <w:rsid w:val="00DC0E02"/>
    <w:rsid w:val="00DC1700"/>
    <w:rsid w:val="00DC2AF8"/>
    <w:rsid w:val="00DC76CE"/>
    <w:rsid w:val="00DC7D61"/>
    <w:rsid w:val="00DD1838"/>
    <w:rsid w:val="00DD3DEE"/>
    <w:rsid w:val="00DD43A6"/>
    <w:rsid w:val="00DD66EC"/>
    <w:rsid w:val="00DD6F2B"/>
    <w:rsid w:val="00DE4C97"/>
    <w:rsid w:val="00DE73FA"/>
    <w:rsid w:val="00DE7F16"/>
    <w:rsid w:val="00E018D2"/>
    <w:rsid w:val="00E053D2"/>
    <w:rsid w:val="00E056E7"/>
    <w:rsid w:val="00E12818"/>
    <w:rsid w:val="00E13E24"/>
    <w:rsid w:val="00E15CF7"/>
    <w:rsid w:val="00E17678"/>
    <w:rsid w:val="00E2063A"/>
    <w:rsid w:val="00E25040"/>
    <w:rsid w:val="00E27939"/>
    <w:rsid w:val="00E27D69"/>
    <w:rsid w:val="00E3103F"/>
    <w:rsid w:val="00E33679"/>
    <w:rsid w:val="00E352FF"/>
    <w:rsid w:val="00E614A5"/>
    <w:rsid w:val="00E633CE"/>
    <w:rsid w:val="00E649B3"/>
    <w:rsid w:val="00E80E29"/>
    <w:rsid w:val="00E83C48"/>
    <w:rsid w:val="00E84C75"/>
    <w:rsid w:val="00E91413"/>
    <w:rsid w:val="00E92AAA"/>
    <w:rsid w:val="00E97733"/>
    <w:rsid w:val="00E97E55"/>
    <w:rsid w:val="00EA08FB"/>
    <w:rsid w:val="00EA742F"/>
    <w:rsid w:val="00EB23A1"/>
    <w:rsid w:val="00ED23CF"/>
    <w:rsid w:val="00ED256A"/>
    <w:rsid w:val="00ED457F"/>
    <w:rsid w:val="00ED510C"/>
    <w:rsid w:val="00EE1E19"/>
    <w:rsid w:val="00EE6097"/>
    <w:rsid w:val="00EF672E"/>
    <w:rsid w:val="00F00E38"/>
    <w:rsid w:val="00F05E20"/>
    <w:rsid w:val="00F14C14"/>
    <w:rsid w:val="00F1661E"/>
    <w:rsid w:val="00F17F60"/>
    <w:rsid w:val="00F20FA7"/>
    <w:rsid w:val="00F239B9"/>
    <w:rsid w:val="00F2587E"/>
    <w:rsid w:val="00F3371D"/>
    <w:rsid w:val="00F34570"/>
    <w:rsid w:val="00F34805"/>
    <w:rsid w:val="00F56B41"/>
    <w:rsid w:val="00F57B29"/>
    <w:rsid w:val="00F76F48"/>
    <w:rsid w:val="00F8000A"/>
    <w:rsid w:val="00F816D2"/>
    <w:rsid w:val="00F81986"/>
    <w:rsid w:val="00F84470"/>
    <w:rsid w:val="00F9072D"/>
    <w:rsid w:val="00F97738"/>
    <w:rsid w:val="00FA398D"/>
    <w:rsid w:val="00FA3A26"/>
    <w:rsid w:val="00FA7923"/>
    <w:rsid w:val="00FB0B24"/>
    <w:rsid w:val="00FB328A"/>
    <w:rsid w:val="00FB44C1"/>
    <w:rsid w:val="00FC1FAC"/>
    <w:rsid w:val="00FC31BA"/>
    <w:rsid w:val="00FC6B83"/>
    <w:rsid w:val="00FC723C"/>
    <w:rsid w:val="00FD12CE"/>
    <w:rsid w:val="00FD1E39"/>
    <w:rsid w:val="00FD541C"/>
    <w:rsid w:val="00FE613E"/>
    <w:rsid w:val="00FE665B"/>
    <w:rsid w:val="00FE7CB2"/>
    <w:rsid w:val="00FF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3FB2B"/>
  <w15:docId w15:val="{028F27DE-F1E4-4961-A7DD-617C92E2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67D"/>
  </w:style>
  <w:style w:type="paragraph" w:styleId="Nagwek1">
    <w:name w:val="heading 1"/>
    <w:basedOn w:val="Normalny"/>
    <w:next w:val="Normalny"/>
    <w:link w:val="Nagwek1Znak"/>
    <w:uiPriority w:val="9"/>
    <w:qFormat/>
    <w:rsid w:val="00F05E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467D"/>
    <w:pPr>
      <w:ind w:left="720"/>
      <w:contextualSpacing/>
    </w:pPr>
  </w:style>
  <w:style w:type="paragraph" w:styleId="Bezodstpw">
    <w:name w:val="No Spacing"/>
    <w:uiPriority w:val="1"/>
    <w:qFormat/>
    <w:rsid w:val="003D5AC9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05E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ZnakZnakCharCharZnakZnak">
    <w:name w:val="Znak Znak Char Char Znak Znak"/>
    <w:basedOn w:val="Normalny"/>
    <w:rsid w:val="00BB40BC"/>
    <w:pPr>
      <w:spacing w:after="160" w:line="240" w:lineRule="exact"/>
    </w:pPr>
    <w:rPr>
      <w:rFonts w:ascii="Tahoma" w:eastAsia="MS Mincho" w:hAnsi="Tahoma" w:cs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rsid w:val="00473C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3C44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7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27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27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7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7C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7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77F8B-58AF-4F59-99D9-045B4C7C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2181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Musialik</dc:creator>
  <cp:lastModifiedBy>Joanna Golonko</cp:lastModifiedBy>
  <cp:revision>2</cp:revision>
  <cp:lastPrinted>2026-02-12T09:51:00Z</cp:lastPrinted>
  <dcterms:created xsi:type="dcterms:W3CDTF">2026-02-12T09:51:00Z</dcterms:created>
  <dcterms:modified xsi:type="dcterms:W3CDTF">2026-02-12T09:51:00Z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PSKATEGORIA">
    <vt:lpwstr>Ogolnodostepny</vt:lpwstr>
  </property>
  <property fmtid="{D5CDD505-2E9C-101B-9397-08002B2CF9AE}" pid="3" name="BPSClassifiedBy">
    <vt:lpwstr>BANK\katarzyna.musialik1;Katarzyna Musialik</vt:lpwstr>
  </property>
  <property fmtid="{D5CDD505-2E9C-101B-9397-08002B2CF9AE}" pid="4" name="BPSClassificationDate">
    <vt:lpwstr>2020-11-27T09:21:41.0710807+01:00</vt:lpwstr>
  </property>
  <property fmtid="{D5CDD505-2E9C-101B-9397-08002B2CF9AE}" pid="5" name="BPSClassifiedBySID">
    <vt:lpwstr>BANK\S-1-5-21-2235066060-4034229115-1914166231-73635</vt:lpwstr>
  </property>
  <property fmtid="{D5CDD505-2E9C-101B-9397-08002B2CF9AE}" pid="6" name="BPSGRNItemId">
    <vt:lpwstr>GRN-25db2137-db21-4813-8fe6-f18306079b90</vt:lpwstr>
  </property>
  <property fmtid="{D5CDD505-2E9C-101B-9397-08002B2CF9AE}" pid="7" name="BPSHash">
    <vt:lpwstr>w68T+Zy5CuKqz++aGCSyz4r/xkWYSfkZPFW+T7Q9WP0=</vt:lpwstr>
  </property>
  <property fmtid="{D5CDD505-2E9C-101B-9397-08002B2CF9AE}" pid="8" name="BPSRefresh">
    <vt:lpwstr>False</vt:lpwstr>
  </property>
</Properties>
</file>